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A6" w:rsidRPr="00682BD5" w:rsidRDefault="00682BD5" w:rsidP="00286FA6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sz w:val="23"/>
          <w:szCs w:val="23"/>
        </w:rPr>
      </w:pPr>
      <w:bookmarkStart w:id="0" w:name="_GoBack"/>
      <w:bookmarkEnd w:id="0"/>
      <w:r>
        <w:rPr>
          <w:rFonts w:ascii="Garamond" w:hAnsi="Garamond"/>
          <w:b/>
          <w:bCs/>
          <w:sz w:val="23"/>
          <w:szCs w:val="23"/>
        </w:rPr>
        <w:t>Informazioni essenziali ai sensi dell’</w:t>
      </w:r>
      <w:r w:rsidR="0084381C" w:rsidRPr="00682BD5">
        <w:rPr>
          <w:rFonts w:ascii="Garamond" w:hAnsi="Garamond"/>
          <w:b/>
          <w:bCs/>
          <w:sz w:val="23"/>
          <w:szCs w:val="23"/>
        </w:rPr>
        <w:t>art. 122 del D</w:t>
      </w:r>
      <w:r w:rsidR="00286FA6" w:rsidRPr="00682BD5">
        <w:rPr>
          <w:rFonts w:ascii="Garamond" w:hAnsi="Garamond"/>
          <w:b/>
          <w:bCs/>
          <w:sz w:val="23"/>
          <w:szCs w:val="23"/>
        </w:rPr>
        <w:t>.</w:t>
      </w:r>
      <w:r w:rsidR="0084381C" w:rsidRPr="00682BD5">
        <w:rPr>
          <w:rFonts w:ascii="Garamond" w:hAnsi="Garamond"/>
          <w:b/>
          <w:bCs/>
          <w:sz w:val="23"/>
          <w:szCs w:val="23"/>
        </w:rPr>
        <w:t>L</w:t>
      </w:r>
      <w:r w:rsidR="00286FA6" w:rsidRPr="00682BD5">
        <w:rPr>
          <w:rFonts w:ascii="Garamond" w:hAnsi="Garamond"/>
          <w:b/>
          <w:bCs/>
          <w:sz w:val="23"/>
          <w:szCs w:val="23"/>
        </w:rPr>
        <w:t>gs. 24 febbraio 1998, n. 58</w:t>
      </w:r>
    </w:p>
    <w:p w:rsidR="00286FA6" w:rsidRPr="00682BD5" w:rsidRDefault="00286FA6" w:rsidP="00286FA6">
      <w:pPr>
        <w:pStyle w:val="NormalWeb"/>
        <w:spacing w:before="0" w:beforeAutospacing="0" w:after="0" w:afterAutospacing="0"/>
        <w:jc w:val="center"/>
        <w:rPr>
          <w:rFonts w:ascii="Garamond" w:hAnsi="Garamond"/>
          <w:sz w:val="23"/>
          <w:szCs w:val="23"/>
        </w:rPr>
      </w:pPr>
    </w:p>
    <w:p w:rsidR="00286FA6" w:rsidRPr="00682BD5" w:rsidRDefault="009A4A43" w:rsidP="00286FA6">
      <w:pPr>
        <w:pStyle w:val="NormalWeb"/>
        <w:spacing w:before="0" w:beforeAutospacing="0" w:after="0" w:afterAutospacing="0"/>
        <w:jc w:val="center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b/>
          <w:bCs/>
          <w:sz w:val="23"/>
          <w:szCs w:val="23"/>
        </w:rPr>
        <w:t>Space</w:t>
      </w:r>
      <w:r w:rsidR="001E6BA0">
        <w:rPr>
          <w:rFonts w:ascii="Garamond" w:hAnsi="Garamond"/>
          <w:b/>
          <w:bCs/>
          <w:sz w:val="23"/>
          <w:szCs w:val="23"/>
        </w:rPr>
        <w:t>2</w:t>
      </w:r>
      <w:r w:rsidRPr="00682BD5">
        <w:rPr>
          <w:rFonts w:ascii="Garamond" w:hAnsi="Garamond"/>
          <w:b/>
          <w:bCs/>
          <w:sz w:val="23"/>
          <w:szCs w:val="23"/>
        </w:rPr>
        <w:t xml:space="preserve"> </w:t>
      </w:r>
      <w:r w:rsidR="00286FA6" w:rsidRPr="00682BD5">
        <w:rPr>
          <w:rFonts w:ascii="Garamond" w:hAnsi="Garamond"/>
          <w:b/>
          <w:bCs/>
          <w:sz w:val="23"/>
          <w:szCs w:val="23"/>
        </w:rPr>
        <w:t>S.p.A.</w:t>
      </w:r>
      <w:r w:rsidR="003859E2" w:rsidRPr="00682BD5">
        <w:rPr>
          <w:rFonts w:ascii="Garamond" w:hAnsi="Garamond"/>
          <w:b/>
          <w:bCs/>
          <w:sz w:val="23"/>
          <w:szCs w:val="23"/>
        </w:rPr>
        <w:t xml:space="preserve"> </w:t>
      </w:r>
      <w:r w:rsidR="00286FA6" w:rsidRPr="00682BD5">
        <w:rPr>
          <w:rFonts w:ascii="Garamond" w:hAnsi="Garamond"/>
          <w:b/>
          <w:bCs/>
          <w:sz w:val="23"/>
          <w:szCs w:val="23"/>
        </w:rPr>
        <w:br/>
      </w:r>
      <w:r w:rsidR="00286FA6" w:rsidRPr="00682BD5">
        <w:rPr>
          <w:rFonts w:ascii="Garamond" w:hAnsi="Garamond"/>
          <w:sz w:val="23"/>
          <w:szCs w:val="23"/>
        </w:rPr>
        <w:t>Capitale sociale</w:t>
      </w:r>
      <w:r w:rsidR="00986759">
        <w:rPr>
          <w:rFonts w:ascii="Garamond" w:hAnsi="Garamond"/>
          <w:sz w:val="23"/>
          <w:szCs w:val="23"/>
        </w:rPr>
        <w:t xml:space="preserve"> sottoscritto e versato</w:t>
      </w:r>
      <w:r w:rsidR="00286FA6" w:rsidRPr="00682BD5">
        <w:rPr>
          <w:rFonts w:ascii="Garamond" w:hAnsi="Garamond"/>
          <w:sz w:val="23"/>
          <w:szCs w:val="23"/>
        </w:rPr>
        <w:t xml:space="preserve"> Euro </w:t>
      </w:r>
      <w:r w:rsidR="00B02653" w:rsidRPr="00B02653">
        <w:rPr>
          <w:rFonts w:ascii="Garamond" w:hAnsi="Garamond"/>
          <w:sz w:val="23"/>
          <w:szCs w:val="23"/>
        </w:rPr>
        <w:t>15.422.500</w:t>
      </w:r>
      <w:r w:rsidRPr="00682BD5">
        <w:rPr>
          <w:rFonts w:ascii="Garamond" w:hAnsi="Garamond"/>
          <w:sz w:val="23"/>
          <w:szCs w:val="23"/>
        </w:rPr>
        <w:t>,00</w:t>
      </w:r>
      <w:r w:rsidR="00286FA6" w:rsidRPr="00682BD5">
        <w:rPr>
          <w:rFonts w:ascii="Garamond" w:hAnsi="Garamond"/>
          <w:sz w:val="23"/>
          <w:szCs w:val="23"/>
        </w:rPr>
        <w:br/>
        <w:t xml:space="preserve">Sede legale in </w:t>
      </w:r>
      <w:r w:rsidRPr="00682BD5">
        <w:rPr>
          <w:rFonts w:ascii="Garamond" w:hAnsi="Garamond"/>
          <w:sz w:val="23"/>
          <w:szCs w:val="23"/>
        </w:rPr>
        <w:t xml:space="preserve">Milano, via </w:t>
      </w:r>
      <w:r w:rsidR="00986759">
        <w:rPr>
          <w:rFonts w:ascii="Garamond" w:hAnsi="Garamond"/>
          <w:sz w:val="23"/>
          <w:szCs w:val="23"/>
        </w:rPr>
        <w:t>Mauro Macchi</w:t>
      </w:r>
      <w:r w:rsidRPr="00682BD5">
        <w:rPr>
          <w:rFonts w:ascii="Garamond" w:hAnsi="Garamond"/>
          <w:sz w:val="23"/>
          <w:szCs w:val="23"/>
        </w:rPr>
        <w:t>, 27</w:t>
      </w:r>
      <w:r w:rsidR="00286FA6" w:rsidRPr="00682BD5">
        <w:rPr>
          <w:rFonts w:ascii="Garamond" w:hAnsi="Garamond"/>
          <w:sz w:val="23"/>
          <w:szCs w:val="23"/>
        </w:rPr>
        <w:br/>
        <w:t xml:space="preserve">Registro Imprese di </w:t>
      </w:r>
      <w:r w:rsidRPr="00682BD5">
        <w:rPr>
          <w:rFonts w:ascii="Garamond" w:hAnsi="Garamond"/>
          <w:sz w:val="23"/>
          <w:szCs w:val="23"/>
        </w:rPr>
        <w:t>Milano</w:t>
      </w:r>
      <w:r w:rsidR="00286FA6" w:rsidRPr="00682BD5">
        <w:rPr>
          <w:rFonts w:ascii="Garamond" w:hAnsi="Garamond"/>
          <w:sz w:val="23"/>
          <w:szCs w:val="23"/>
        </w:rPr>
        <w:t xml:space="preserve"> e C.F. n. </w:t>
      </w:r>
      <w:r w:rsidRPr="00682BD5">
        <w:rPr>
          <w:rFonts w:ascii="Garamond" w:hAnsi="Garamond"/>
          <w:sz w:val="23"/>
          <w:szCs w:val="23"/>
        </w:rPr>
        <w:t>0</w:t>
      </w:r>
      <w:r w:rsidR="00986759">
        <w:rPr>
          <w:rFonts w:ascii="Garamond" w:hAnsi="Garamond"/>
          <w:sz w:val="23"/>
          <w:szCs w:val="23"/>
        </w:rPr>
        <w:t>9105940960</w:t>
      </w:r>
    </w:p>
    <w:p w:rsidR="00286FA6" w:rsidRPr="00682BD5" w:rsidRDefault="00286FA6" w:rsidP="00286FA6">
      <w:pPr>
        <w:pStyle w:val="NormalWeb"/>
        <w:spacing w:before="0" w:beforeAutospacing="0" w:after="0" w:afterAutospacing="0"/>
        <w:jc w:val="center"/>
        <w:rPr>
          <w:rFonts w:ascii="Garamond" w:hAnsi="Garamond"/>
          <w:sz w:val="23"/>
          <w:szCs w:val="23"/>
        </w:rPr>
      </w:pPr>
    </w:p>
    <w:p w:rsidR="00286FA6" w:rsidRPr="00682BD5" w:rsidRDefault="00286FA6" w:rsidP="00286FA6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sz w:val="23"/>
          <w:szCs w:val="23"/>
        </w:rPr>
      </w:pPr>
    </w:p>
    <w:p w:rsidR="00286FA6" w:rsidRPr="004A2498" w:rsidRDefault="00986759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Ai sensi degli articoli 122 del D. Lgs. 58/1998 (il “</w:t>
      </w:r>
      <w:r w:rsidRPr="004A2498">
        <w:rPr>
          <w:rFonts w:ascii="Garamond" w:hAnsi="Garamond"/>
          <w:b/>
          <w:sz w:val="23"/>
          <w:szCs w:val="23"/>
        </w:rPr>
        <w:t>TUF</w:t>
      </w:r>
      <w:r>
        <w:rPr>
          <w:rFonts w:ascii="Garamond" w:hAnsi="Garamond"/>
          <w:sz w:val="23"/>
          <w:szCs w:val="23"/>
        </w:rPr>
        <w:t xml:space="preserve">”) </w:t>
      </w:r>
      <w:r w:rsidR="004A2498">
        <w:rPr>
          <w:rFonts w:ascii="Garamond" w:hAnsi="Garamond"/>
          <w:sz w:val="23"/>
          <w:szCs w:val="23"/>
        </w:rPr>
        <w:t xml:space="preserve">e 130 del </w:t>
      </w:r>
      <w:r w:rsidR="00CF708A" w:rsidRPr="00682BD5">
        <w:rPr>
          <w:rFonts w:ascii="Garamond" w:hAnsi="Garamond"/>
          <w:sz w:val="23"/>
          <w:szCs w:val="23"/>
        </w:rPr>
        <w:t>Regolamento Consob n. 11971 del 14 maggio 1999 (il “</w:t>
      </w:r>
      <w:r w:rsidR="00CF708A" w:rsidRPr="00682BD5">
        <w:rPr>
          <w:rFonts w:ascii="Garamond" w:hAnsi="Garamond"/>
          <w:b/>
          <w:sz w:val="23"/>
          <w:szCs w:val="23"/>
        </w:rPr>
        <w:t>Regolamento Emittenti</w:t>
      </w:r>
      <w:r w:rsidR="004A2498">
        <w:rPr>
          <w:rFonts w:ascii="Garamond" w:hAnsi="Garamond"/>
          <w:sz w:val="23"/>
          <w:szCs w:val="23"/>
        </w:rPr>
        <w:t>”), si riportano di seguito le informazioni essenziali relative al</w:t>
      </w:r>
      <w:r w:rsidR="006E6981">
        <w:rPr>
          <w:rFonts w:ascii="Garamond" w:hAnsi="Garamond"/>
          <w:sz w:val="23"/>
          <w:szCs w:val="23"/>
        </w:rPr>
        <w:t xml:space="preserve"> patto parasociale sottoscritto </w:t>
      </w:r>
      <w:r w:rsidR="004072E0">
        <w:rPr>
          <w:rFonts w:ascii="Garamond" w:hAnsi="Garamond"/>
          <w:sz w:val="23"/>
          <w:szCs w:val="23"/>
        </w:rPr>
        <w:t xml:space="preserve">in data 31 marzo 2017 </w:t>
      </w:r>
      <w:r w:rsidR="00120C99">
        <w:rPr>
          <w:rFonts w:ascii="Garamond" w:hAnsi="Garamond"/>
          <w:sz w:val="23"/>
          <w:szCs w:val="23"/>
        </w:rPr>
        <w:t xml:space="preserve">tra </w:t>
      </w:r>
      <w:r w:rsidR="000E14A5" w:rsidRPr="004A2498">
        <w:rPr>
          <w:rFonts w:ascii="Garamond" w:hAnsi="Garamond"/>
          <w:bCs/>
          <w:sz w:val="23"/>
          <w:szCs w:val="23"/>
        </w:rPr>
        <w:t xml:space="preserve">Leonardo S.p.A. </w:t>
      </w:r>
      <w:r w:rsidR="004569C4">
        <w:rPr>
          <w:rFonts w:ascii="Garamond" w:hAnsi="Garamond"/>
          <w:bCs/>
          <w:sz w:val="23"/>
          <w:szCs w:val="23"/>
        </w:rPr>
        <w:t>(“</w:t>
      </w:r>
      <w:r w:rsidR="004569C4" w:rsidRPr="004569C4">
        <w:rPr>
          <w:rFonts w:ascii="Garamond" w:hAnsi="Garamond"/>
          <w:b/>
          <w:bCs/>
          <w:sz w:val="23"/>
          <w:szCs w:val="23"/>
        </w:rPr>
        <w:t>Leonardo</w:t>
      </w:r>
      <w:r w:rsidR="004569C4">
        <w:rPr>
          <w:rFonts w:ascii="Garamond" w:hAnsi="Garamond"/>
          <w:bCs/>
          <w:sz w:val="23"/>
          <w:szCs w:val="23"/>
        </w:rPr>
        <w:t xml:space="preserve">”) </w:t>
      </w:r>
      <w:r w:rsidR="006E6981">
        <w:rPr>
          <w:rFonts w:ascii="Garamond" w:hAnsi="Garamond"/>
          <w:bCs/>
          <w:sz w:val="23"/>
          <w:szCs w:val="23"/>
        </w:rPr>
        <w:t xml:space="preserve">e </w:t>
      </w:r>
      <w:r w:rsidR="006E6981" w:rsidRPr="004A2498">
        <w:rPr>
          <w:rFonts w:ascii="Garamond" w:hAnsi="Garamond"/>
          <w:bCs/>
          <w:sz w:val="23"/>
          <w:szCs w:val="23"/>
        </w:rPr>
        <w:t xml:space="preserve">Space2 S.p.A. </w:t>
      </w:r>
      <w:r w:rsidR="006E6981">
        <w:rPr>
          <w:rFonts w:ascii="Garamond" w:hAnsi="Garamond"/>
          <w:bCs/>
          <w:sz w:val="23"/>
          <w:szCs w:val="23"/>
        </w:rPr>
        <w:t>(“</w:t>
      </w:r>
      <w:r w:rsidR="006E6981" w:rsidRPr="004569C4">
        <w:rPr>
          <w:rFonts w:ascii="Garamond" w:hAnsi="Garamond"/>
          <w:b/>
          <w:bCs/>
          <w:sz w:val="23"/>
          <w:szCs w:val="23"/>
        </w:rPr>
        <w:t>Space2</w:t>
      </w:r>
      <w:r w:rsidR="006E6981">
        <w:rPr>
          <w:rFonts w:ascii="Garamond" w:hAnsi="Garamond"/>
          <w:bCs/>
          <w:sz w:val="23"/>
          <w:szCs w:val="23"/>
        </w:rPr>
        <w:t>”</w:t>
      </w:r>
      <w:r w:rsidR="00F82AD4">
        <w:rPr>
          <w:rFonts w:ascii="Garamond" w:hAnsi="Garamond"/>
          <w:bCs/>
          <w:sz w:val="23"/>
          <w:szCs w:val="23"/>
        </w:rPr>
        <w:t xml:space="preserve"> o l’“</w:t>
      </w:r>
      <w:r w:rsidR="00F82AD4" w:rsidRPr="00F82AD4">
        <w:rPr>
          <w:rFonts w:ascii="Garamond" w:hAnsi="Garamond"/>
          <w:b/>
          <w:bCs/>
          <w:sz w:val="23"/>
          <w:szCs w:val="23"/>
        </w:rPr>
        <w:t>Emittente</w:t>
      </w:r>
      <w:r w:rsidR="00F82AD4">
        <w:rPr>
          <w:rFonts w:ascii="Garamond" w:hAnsi="Garamond"/>
          <w:bCs/>
          <w:sz w:val="23"/>
          <w:szCs w:val="23"/>
        </w:rPr>
        <w:t>”)</w:t>
      </w:r>
      <w:r w:rsidR="006E6981">
        <w:rPr>
          <w:rFonts w:ascii="Garamond" w:hAnsi="Garamond"/>
          <w:bCs/>
          <w:sz w:val="23"/>
          <w:szCs w:val="23"/>
        </w:rPr>
        <w:t xml:space="preserve"> - che, a esito dell’efficacia della fusione per incorporazione di Avio S.p.A. (“</w:t>
      </w:r>
      <w:r w:rsidR="006E6981" w:rsidRPr="004072E0">
        <w:rPr>
          <w:rFonts w:ascii="Garamond" w:hAnsi="Garamond"/>
          <w:b/>
          <w:bCs/>
          <w:sz w:val="23"/>
          <w:szCs w:val="23"/>
        </w:rPr>
        <w:t>Avio</w:t>
      </w:r>
      <w:r w:rsidR="006E6981">
        <w:rPr>
          <w:rFonts w:ascii="Garamond" w:hAnsi="Garamond"/>
          <w:bCs/>
          <w:sz w:val="23"/>
          <w:szCs w:val="23"/>
        </w:rPr>
        <w:t>”) in Space2</w:t>
      </w:r>
      <w:r w:rsidR="004072E0">
        <w:rPr>
          <w:rFonts w:ascii="Garamond" w:hAnsi="Garamond"/>
          <w:bCs/>
          <w:sz w:val="23"/>
          <w:szCs w:val="23"/>
        </w:rPr>
        <w:t xml:space="preserve"> (la “</w:t>
      </w:r>
      <w:r w:rsidR="004072E0" w:rsidRPr="004072E0">
        <w:rPr>
          <w:rFonts w:ascii="Garamond" w:hAnsi="Garamond"/>
          <w:b/>
          <w:bCs/>
          <w:sz w:val="23"/>
          <w:szCs w:val="23"/>
        </w:rPr>
        <w:t>Fusione</w:t>
      </w:r>
      <w:r w:rsidR="004072E0">
        <w:rPr>
          <w:rFonts w:ascii="Garamond" w:hAnsi="Garamond"/>
          <w:bCs/>
          <w:sz w:val="23"/>
          <w:szCs w:val="23"/>
        </w:rPr>
        <w:t>”)</w:t>
      </w:r>
      <w:r w:rsidR="006E6981">
        <w:rPr>
          <w:rFonts w:ascii="Garamond" w:hAnsi="Garamond"/>
          <w:bCs/>
          <w:sz w:val="23"/>
          <w:szCs w:val="23"/>
        </w:rPr>
        <w:t>, assumerà la denominazione di “</w:t>
      </w:r>
      <w:r w:rsidR="006E6981" w:rsidRPr="004072E0">
        <w:rPr>
          <w:rFonts w:ascii="Garamond" w:hAnsi="Garamond"/>
          <w:bCs/>
          <w:i/>
          <w:sz w:val="23"/>
          <w:szCs w:val="23"/>
        </w:rPr>
        <w:t>Avio S.p.A.</w:t>
      </w:r>
      <w:r w:rsidR="006E6981">
        <w:rPr>
          <w:rFonts w:ascii="Garamond" w:hAnsi="Garamond"/>
          <w:bCs/>
          <w:sz w:val="23"/>
          <w:szCs w:val="23"/>
        </w:rPr>
        <w:t>” -</w:t>
      </w:r>
      <w:r w:rsidR="004072E0">
        <w:rPr>
          <w:rFonts w:ascii="Garamond" w:hAnsi="Garamond"/>
          <w:bCs/>
          <w:sz w:val="23"/>
          <w:szCs w:val="23"/>
        </w:rPr>
        <w:t xml:space="preserve"> </w:t>
      </w:r>
      <w:r w:rsidR="00041035">
        <w:rPr>
          <w:rFonts w:ascii="Garamond" w:hAnsi="Garamond"/>
          <w:bCs/>
          <w:sz w:val="23"/>
          <w:szCs w:val="23"/>
        </w:rPr>
        <w:t>(il “</w:t>
      </w:r>
      <w:r w:rsidR="00041035" w:rsidRPr="00041035">
        <w:rPr>
          <w:rFonts w:ascii="Garamond" w:hAnsi="Garamond"/>
          <w:b/>
          <w:bCs/>
          <w:sz w:val="23"/>
          <w:szCs w:val="23"/>
        </w:rPr>
        <w:t>Patto Parasociale</w:t>
      </w:r>
      <w:r w:rsidR="00041035">
        <w:rPr>
          <w:rFonts w:ascii="Garamond" w:hAnsi="Garamond"/>
          <w:bCs/>
          <w:sz w:val="23"/>
          <w:szCs w:val="23"/>
        </w:rPr>
        <w:t>”)</w:t>
      </w:r>
      <w:r w:rsidR="00223345">
        <w:rPr>
          <w:rFonts w:ascii="Garamond" w:hAnsi="Garamond"/>
          <w:bCs/>
          <w:sz w:val="23"/>
          <w:szCs w:val="23"/>
        </w:rPr>
        <w:t>,</w:t>
      </w:r>
      <w:r w:rsidR="00041035">
        <w:rPr>
          <w:rFonts w:ascii="Garamond" w:hAnsi="Garamond"/>
          <w:bCs/>
          <w:sz w:val="23"/>
          <w:szCs w:val="23"/>
        </w:rPr>
        <w:t xml:space="preserve"> </w:t>
      </w:r>
      <w:r w:rsidR="004072E0">
        <w:rPr>
          <w:rFonts w:ascii="Garamond" w:hAnsi="Garamond"/>
          <w:bCs/>
          <w:sz w:val="23"/>
          <w:szCs w:val="23"/>
        </w:rPr>
        <w:t xml:space="preserve">il cui contenuto </w:t>
      </w:r>
      <w:r w:rsidR="001D6AE7">
        <w:rPr>
          <w:rFonts w:ascii="Garamond" w:hAnsi="Garamond"/>
          <w:bCs/>
          <w:sz w:val="23"/>
          <w:szCs w:val="23"/>
        </w:rPr>
        <w:t xml:space="preserve">riproduce il contenuto del </w:t>
      </w:r>
      <w:r w:rsidR="004072E0">
        <w:rPr>
          <w:rFonts w:ascii="Garamond" w:hAnsi="Garamond"/>
          <w:i/>
          <w:sz w:val="23"/>
          <w:szCs w:val="23"/>
        </w:rPr>
        <w:t xml:space="preserve">term sheet </w:t>
      </w:r>
      <w:r w:rsidR="004072E0" w:rsidRPr="004A2498">
        <w:rPr>
          <w:rFonts w:ascii="Garamond" w:hAnsi="Garamond"/>
          <w:bCs/>
          <w:sz w:val="23"/>
          <w:szCs w:val="23"/>
        </w:rPr>
        <w:t>vincolante contenente, tra l’altro, alcune pattuizioni parasociali</w:t>
      </w:r>
      <w:r w:rsidR="004072E0">
        <w:rPr>
          <w:rFonts w:ascii="Garamond" w:hAnsi="Garamond"/>
          <w:bCs/>
          <w:sz w:val="23"/>
          <w:szCs w:val="23"/>
        </w:rPr>
        <w:t>, sottoscritto</w:t>
      </w:r>
      <w:r w:rsidR="004072E0" w:rsidRPr="004A2498">
        <w:rPr>
          <w:rFonts w:ascii="Garamond" w:hAnsi="Garamond"/>
          <w:bCs/>
          <w:sz w:val="23"/>
          <w:szCs w:val="23"/>
        </w:rPr>
        <w:t xml:space="preserve"> </w:t>
      </w:r>
      <w:r w:rsidR="004072E0">
        <w:rPr>
          <w:rFonts w:ascii="Garamond" w:hAnsi="Garamond"/>
          <w:bCs/>
          <w:sz w:val="23"/>
          <w:szCs w:val="23"/>
        </w:rPr>
        <w:t xml:space="preserve">dalle medesime parti </w:t>
      </w:r>
      <w:r w:rsidR="004072E0">
        <w:rPr>
          <w:rFonts w:ascii="Garamond" w:hAnsi="Garamond"/>
          <w:sz w:val="23"/>
          <w:szCs w:val="23"/>
        </w:rPr>
        <w:t xml:space="preserve">in data 19 ottobre 2016 e pubblicato </w:t>
      </w:r>
      <w:r w:rsidR="00223345">
        <w:rPr>
          <w:rFonts w:ascii="Garamond" w:hAnsi="Garamond"/>
          <w:sz w:val="23"/>
          <w:szCs w:val="23"/>
        </w:rPr>
        <w:t xml:space="preserve">in data 24 ottobre 2016 in conformità </w:t>
      </w:r>
      <w:r w:rsidR="004072E0">
        <w:rPr>
          <w:rFonts w:ascii="Garamond" w:hAnsi="Garamond"/>
          <w:sz w:val="23"/>
          <w:szCs w:val="23"/>
        </w:rPr>
        <w:t>alla normativa regolamentare applicabile</w:t>
      </w:r>
      <w:r w:rsidR="00893001">
        <w:rPr>
          <w:rFonts w:ascii="Garamond" w:hAnsi="Garamond"/>
          <w:bCs/>
          <w:sz w:val="23"/>
          <w:szCs w:val="23"/>
        </w:rPr>
        <w:t>.</w:t>
      </w:r>
    </w:p>
    <w:p w:rsidR="00F96014" w:rsidRPr="00682BD5" w:rsidRDefault="00F96014" w:rsidP="00286FA6">
      <w:pPr>
        <w:pStyle w:val="NormalWeb"/>
        <w:jc w:val="both"/>
        <w:rPr>
          <w:rFonts w:ascii="Garamond" w:hAnsi="Garamond"/>
          <w:b/>
          <w:bCs/>
          <w:sz w:val="23"/>
          <w:szCs w:val="23"/>
          <w:u w:val="single"/>
        </w:rPr>
      </w:pPr>
      <w:r w:rsidRPr="00682BD5">
        <w:rPr>
          <w:rFonts w:ascii="Garamond" w:hAnsi="Garamond"/>
          <w:b/>
          <w:bCs/>
          <w:sz w:val="23"/>
          <w:szCs w:val="23"/>
        </w:rPr>
        <w:t>1</w:t>
      </w:r>
      <w:r w:rsidRPr="008B4BB2">
        <w:rPr>
          <w:rFonts w:ascii="Garamond" w:hAnsi="Garamond"/>
          <w:b/>
          <w:bCs/>
          <w:sz w:val="23"/>
          <w:szCs w:val="23"/>
        </w:rPr>
        <w:t xml:space="preserve">. </w:t>
      </w:r>
      <w:r w:rsidRPr="00682BD5">
        <w:rPr>
          <w:rFonts w:ascii="Garamond" w:hAnsi="Garamond"/>
          <w:b/>
          <w:bCs/>
          <w:sz w:val="23"/>
          <w:szCs w:val="23"/>
          <w:u w:val="single"/>
        </w:rPr>
        <w:t xml:space="preserve">Premesse </w:t>
      </w:r>
    </w:p>
    <w:p w:rsidR="00C01131" w:rsidRDefault="0065187E" w:rsidP="0023386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(A) </w:t>
      </w:r>
      <w:r w:rsidR="0078247D">
        <w:rPr>
          <w:rFonts w:ascii="Garamond" w:hAnsi="Garamond"/>
          <w:sz w:val="23"/>
          <w:szCs w:val="23"/>
        </w:rPr>
        <w:t>In data 1</w:t>
      </w:r>
      <w:r w:rsidR="003F0759">
        <w:rPr>
          <w:rFonts w:ascii="Garamond" w:hAnsi="Garamond"/>
          <w:sz w:val="23"/>
          <w:szCs w:val="23"/>
        </w:rPr>
        <w:t>º</w:t>
      </w:r>
      <w:r w:rsidR="0078247D">
        <w:rPr>
          <w:rFonts w:ascii="Garamond" w:hAnsi="Garamond"/>
          <w:sz w:val="23"/>
          <w:szCs w:val="23"/>
        </w:rPr>
        <w:t xml:space="preserve"> </w:t>
      </w:r>
      <w:r w:rsidR="003F0759">
        <w:rPr>
          <w:rFonts w:ascii="Garamond" w:hAnsi="Garamond"/>
          <w:sz w:val="23"/>
          <w:szCs w:val="23"/>
        </w:rPr>
        <w:t>dicembre</w:t>
      </w:r>
      <w:r w:rsidR="0078247D">
        <w:rPr>
          <w:rFonts w:ascii="Garamond" w:hAnsi="Garamond"/>
          <w:sz w:val="23"/>
          <w:szCs w:val="23"/>
        </w:rPr>
        <w:t xml:space="preserve"> 2016 </w:t>
      </w:r>
      <w:r w:rsidR="003F0759">
        <w:rPr>
          <w:rFonts w:ascii="Garamond" w:hAnsi="Garamond"/>
          <w:sz w:val="23"/>
          <w:szCs w:val="23"/>
        </w:rPr>
        <w:t xml:space="preserve">l’Assemblea degli Azionisti </w:t>
      </w:r>
      <w:r w:rsidR="0078247D">
        <w:rPr>
          <w:rFonts w:ascii="Garamond" w:hAnsi="Garamond"/>
          <w:sz w:val="23"/>
          <w:szCs w:val="23"/>
        </w:rPr>
        <w:t>di Space2</w:t>
      </w:r>
      <w:r w:rsidR="003F0759">
        <w:rPr>
          <w:rFonts w:ascii="Garamond" w:hAnsi="Garamond"/>
          <w:sz w:val="23"/>
          <w:szCs w:val="23"/>
        </w:rPr>
        <w:t xml:space="preserve"> </w:t>
      </w:r>
      <w:r w:rsidR="0078247D" w:rsidRPr="0078247D">
        <w:rPr>
          <w:rFonts w:ascii="Garamond" w:hAnsi="Garamond"/>
          <w:sz w:val="23"/>
          <w:szCs w:val="23"/>
        </w:rPr>
        <w:t>ha</w:t>
      </w:r>
      <w:r w:rsidR="00C01131">
        <w:rPr>
          <w:rFonts w:ascii="Garamond" w:hAnsi="Garamond"/>
          <w:sz w:val="23"/>
          <w:szCs w:val="23"/>
        </w:rPr>
        <w:t xml:space="preserve"> </w:t>
      </w:r>
      <w:r w:rsidR="0078247D" w:rsidRPr="0078247D">
        <w:rPr>
          <w:rFonts w:ascii="Garamond" w:hAnsi="Garamond"/>
          <w:sz w:val="23"/>
          <w:szCs w:val="23"/>
        </w:rPr>
        <w:t xml:space="preserve">approvato </w:t>
      </w:r>
      <w:r w:rsidR="001A66A8">
        <w:rPr>
          <w:rFonts w:ascii="Garamond" w:hAnsi="Garamond"/>
          <w:sz w:val="23"/>
          <w:szCs w:val="23"/>
        </w:rPr>
        <w:t>l’operazione di</w:t>
      </w:r>
      <w:r w:rsidR="0078247D" w:rsidRPr="0078247D">
        <w:rPr>
          <w:rFonts w:ascii="Garamond" w:hAnsi="Garamond"/>
          <w:sz w:val="23"/>
          <w:szCs w:val="23"/>
        </w:rPr>
        <w:t xml:space="preserve"> </w:t>
      </w:r>
      <w:r w:rsidR="003F0759">
        <w:rPr>
          <w:rFonts w:ascii="Garamond" w:hAnsi="Garamond"/>
          <w:i/>
          <w:sz w:val="23"/>
          <w:szCs w:val="23"/>
        </w:rPr>
        <w:t>business combination</w:t>
      </w:r>
      <w:r w:rsidR="0078247D" w:rsidRPr="0078247D">
        <w:rPr>
          <w:rFonts w:ascii="Garamond" w:hAnsi="Garamond"/>
          <w:sz w:val="23"/>
          <w:szCs w:val="23"/>
        </w:rPr>
        <w:t xml:space="preserve"> tra Space2 e Avio,</w:t>
      </w:r>
      <w:r w:rsidR="00C01131">
        <w:rPr>
          <w:rFonts w:ascii="Garamond" w:hAnsi="Garamond"/>
          <w:sz w:val="23"/>
          <w:szCs w:val="23"/>
        </w:rPr>
        <w:t xml:space="preserve"> </w:t>
      </w:r>
      <w:r w:rsidR="0078247D" w:rsidRPr="0078247D">
        <w:rPr>
          <w:rFonts w:ascii="Garamond" w:hAnsi="Garamond"/>
          <w:sz w:val="23"/>
          <w:szCs w:val="23"/>
        </w:rPr>
        <w:t>da realizzarsi principalmente mediante l’acquisizione, da parte di Space2</w:t>
      </w:r>
      <w:r w:rsidR="00644B41">
        <w:rPr>
          <w:rFonts w:ascii="Garamond" w:hAnsi="Garamond"/>
          <w:sz w:val="23"/>
          <w:szCs w:val="23"/>
        </w:rPr>
        <w:t>,</w:t>
      </w:r>
      <w:r w:rsidR="0078247D" w:rsidRPr="0078247D">
        <w:rPr>
          <w:rFonts w:ascii="Garamond" w:hAnsi="Garamond"/>
          <w:sz w:val="23"/>
          <w:szCs w:val="23"/>
        </w:rPr>
        <w:t xml:space="preserve"> di Leonardo</w:t>
      </w:r>
      <w:r w:rsidR="003F0759">
        <w:rPr>
          <w:rFonts w:ascii="Garamond" w:hAnsi="Garamond"/>
          <w:sz w:val="23"/>
          <w:szCs w:val="23"/>
        </w:rPr>
        <w:t xml:space="preserve"> e di In Orbit S.p.A. - società partecipata da alcuni</w:t>
      </w:r>
      <w:r w:rsidR="003F0759" w:rsidRPr="003F0759">
        <w:rPr>
          <w:rFonts w:ascii="Garamond" w:hAnsi="Garamond"/>
          <w:sz w:val="23"/>
          <w:szCs w:val="23"/>
        </w:rPr>
        <w:t xml:space="preserve"> </w:t>
      </w:r>
      <w:r w:rsidR="003F0759" w:rsidRPr="003F0759">
        <w:rPr>
          <w:rFonts w:ascii="Garamond" w:hAnsi="Garamond"/>
          <w:i/>
          <w:sz w:val="23"/>
          <w:szCs w:val="23"/>
        </w:rPr>
        <w:t>managers</w:t>
      </w:r>
      <w:r w:rsidR="003F0759">
        <w:rPr>
          <w:rFonts w:ascii="Garamond" w:hAnsi="Garamond"/>
          <w:sz w:val="23"/>
          <w:szCs w:val="23"/>
        </w:rPr>
        <w:t xml:space="preserve"> di Avio - </w:t>
      </w:r>
      <w:r w:rsidR="00671546" w:rsidRPr="00671546">
        <w:rPr>
          <w:rFonts w:ascii="Garamond" w:hAnsi="Garamond"/>
          <w:bCs/>
          <w:sz w:val="23"/>
          <w:szCs w:val="23"/>
        </w:rPr>
        <w:t xml:space="preserve">dell’intera partecipazione nel capitale sociale di Avio non detenuta da Leonardo </w:t>
      </w:r>
      <w:r w:rsidR="00671546">
        <w:rPr>
          <w:rFonts w:ascii="Garamond" w:hAnsi="Garamond"/>
          <w:bCs/>
          <w:sz w:val="23"/>
          <w:szCs w:val="23"/>
        </w:rPr>
        <w:t xml:space="preserve">- rappresentativa </w:t>
      </w:r>
      <w:r w:rsidR="0078247D" w:rsidRPr="0078247D">
        <w:rPr>
          <w:rFonts w:ascii="Garamond" w:hAnsi="Garamond"/>
          <w:sz w:val="23"/>
          <w:szCs w:val="23"/>
        </w:rPr>
        <w:t>dell’85,68% del capitale sociale di Avio</w:t>
      </w:r>
      <w:r w:rsidR="00671546">
        <w:rPr>
          <w:rFonts w:ascii="Garamond" w:hAnsi="Garamond"/>
          <w:sz w:val="23"/>
          <w:szCs w:val="23"/>
        </w:rPr>
        <w:t xml:space="preserve"> -</w:t>
      </w:r>
      <w:r w:rsidR="0078247D" w:rsidRPr="0078247D">
        <w:rPr>
          <w:rFonts w:ascii="Garamond" w:hAnsi="Garamond"/>
          <w:sz w:val="23"/>
          <w:szCs w:val="23"/>
        </w:rPr>
        <w:t xml:space="preserve"> </w:t>
      </w:r>
      <w:r w:rsidR="000D09FF">
        <w:rPr>
          <w:rFonts w:ascii="Garamond" w:hAnsi="Garamond"/>
          <w:sz w:val="23"/>
          <w:szCs w:val="23"/>
        </w:rPr>
        <w:t>(l’“</w:t>
      </w:r>
      <w:r w:rsidR="000D09FF" w:rsidRPr="000D09FF">
        <w:rPr>
          <w:rFonts w:ascii="Garamond" w:hAnsi="Garamond"/>
          <w:b/>
          <w:sz w:val="23"/>
          <w:szCs w:val="23"/>
        </w:rPr>
        <w:t>Acquisizione</w:t>
      </w:r>
      <w:r w:rsidR="000D09FF">
        <w:rPr>
          <w:rFonts w:ascii="Garamond" w:hAnsi="Garamond"/>
          <w:sz w:val="23"/>
          <w:szCs w:val="23"/>
        </w:rPr>
        <w:t xml:space="preserve">”) </w:t>
      </w:r>
      <w:r w:rsidR="00C01131">
        <w:rPr>
          <w:rFonts w:ascii="Garamond" w:hAnsi="Garamond"/>
          <w:sz w:val="23"/>
          <w:szCs w:val="23"/>
        </w:rPr>
        <w:t xml:space="preserve">e la </w:t>
      </w:r>
      <w:r w:rsidR="00C01131" w:rsidRPr="00713C5F">
        <w:rPr>
          <w:rFonts w:ascii="Garamond" w:hAnsi="Garamond"/>
          <w:sz w:val="23"/>
          <w:szCs w:val="23"/>
        </w:rPr>
        <w:t>Fusione</w:t>
      </w:r>
      <w:r w:rsidR="00C01131">
        <w:rPr>
          <w:rFonts w:ascii="Garamond" w:hAnsi="Garamond"/>
          <w:sz w:val="23"/>
          <w:szCs w:val="23"/>
        </w:rPr>
        <w:t>,</w:t>
      </w:r>
      <w:r w:rsidR="00C01131" w:rsidRPr="00C01131">
        <w:rPr>
          <w:rFonts w:ascii="Garamond" w:hAnsi="Garamond"/>
          <w:sz w:val="23"/>
          <w:szCs w:val="23"/>
        </w:rPr>
        <w:t xml:space="preserve"> mediante assegnazione ai soci di </w:t>
      </w:r>
      <w:r w:rsidR="00C01131">
        <w:rPr>
          <w:rFonts w:ascii="Garamond" w:hAnsi="Garamond"/>
          <w:sz w:val="23"/>
          <w:szCs w:val="23"/>
        </w:rPr>
        <w:t>Avio diversi da Space2</w:t>
      </w:r>
      <w:r w:rsidR="00C01131" w:rsidRPr="00C01131">
        <w:rPr>
          <w:rFonts w:ascii="Garamond" w:hAnsi="Garamond"/>
          <w:sz w:val="23"/>
          <w:szCs w:val="23"/>
        </w:rPr>
        <w:t xml:space="preserve"> di azioni </w:t>
      </w:r>
      <w:r w:rsidR="00713C5F">
        <w:rPr>
          <w:rFonts w:ascii="Garamond" w:hAnsi="Garamond"/>
          <w:sz w:val="23"/>
          <w:szCs w:val="23"/>
        </w:rPr>
        <w:t xml:space="preserve">ordinarie di </w:t>
      </w:r>
      <w:r w:rsidR="00C01131" w:rsidRPr="00C01131">
        <w:rPr>
          <w:rFonts w:ascii="Garamond" w:hAnsi="Garamond"/>
          <w:sz w:val="23"/>
          <w:szCs w:val="23"/>
        </w:rPr>
        <w:t>Space</w:t>
      </w:r>
      <w:r w:rsidR="00C01131">
        <w:rPr>
          <w:rFonts w:ascii="Garamond" w:hAnsi="Garamond"/>
          <w:sz w:val="23"/>
          <w:szCs w:val="23"/>
        </w:rPr>
        <w:t>2</w:t>
      </w:r>
      <w:r w:rsidR="00C01131" w:rsidRPr="00C01131">
        <w:rPr>
          <w:rFonts w:ascii="Garamond" w:hAnsi="Garamond"/>
          <w:sz w:val="23"/>
          <w:szCs w:val="23"/>
        </w:rPr>
        <w:t xml:space="preserve"> rivenienti </w:t>
      </w:r>
      <w:r w:rsidR="00713C5F">
        <w:rPr>
          <w:rFonts w:ascii="Garamond" w:hAnsi="Garamond"/>
          <w:sz w:val="23"/>
          <w:szCs w:val="23"/>
        </w:rPr>
        <w:t>dall’</w:t>
      </w:r>
      <w:r w:rsidR="00C01131" w:rsidRPr="00C01131">
        <w:rPr>
          <w:rFonts w:ascii="Garamond" w:hAnsi="Garamond"/>
          <w:sz w:val="23"/>
          <w:szCs w:val="23"/>
        </w:rPr>
        <w:t>aumento di capitale a servizio della Fusione</w:t>
      </w:r>
      <w:r w:rsidR="00713C5F">
        <w:rPr>
          <w:rFonts w:ascii="Garamond" w:hAnsi="Garamond"/>
          <w:sz w:val="23"/>
          <w:szCs w:val="23"/>
        </w:rPr>
        <w:t>,</w:t>
      </w:r>
      <w:r w:rsidR="00C01131" w:rsidRPr="00C01131">
        <w:rPr>
          <w:rFonts w:ascii="Garamond" w:hAnsi="Garamond"/>
          <w:sz w:val="23"/>
          <w:szCs w:val="23"/>
        </w:rPr>
        <w:t xml:space="preserve"> sulla base </w:t>
      </w:r>
      <w:r w:rsidR="00713C5F" w:rsidRPr="00713C5F">
        <w:rPr>
          <w:rFonts w:ascii="Garamond" w:hAnsi="Garamond"/>
          <w:sz w:val="23"/>
          <w:szCs w:val="23"/>
        </w:rPr>
        <w:t>del rapporto di cambio determinato in n. 0,0402 azioni ordinarie Space2 da assegnare in concambio per ciascuna azione Avio.</w:t>
      </w:r>
    </w:p>
    <w:p w:rsidR="00713C5F" w:rsidRDefault="00713C5F" w:rsidP="00713C5F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(B) N</w:t>
      </w:r>
      <w:r w:rsidRPr="0078247D">
        <w:rPr>
          <w:rFonts w:ascii="Garamond" w:hAnsi="Garamond"/>
          <w:bCs/>
          <w:sz w:val="23"/>
          <w:szCs w:val="23"/>
        </w:rPr>
        <w:t xml:space="preserve">el contesto della sottoscrizione degli accordi volti a disciplinare termini e condizioni dell’integrazione societaria tra Space2 </w:t>
      </w:r>
      <w:r>
        <w:rPr>
          <w:rFonts w:ascii="Garamond" w:hAnsi="Garamond"/>
          <w:bCs/>
          <w:sz w:val="23"/>
          <w:szCs w:val="23"/>
        </w:rPr>
        <w:t xml:space="preserve">e Avio, in data 19 ottobre 2016 Space2 e Leonardo </w:t>
      </w:r>
      <w:r w:rsidRPr="0078247D">
        <w:rPr>
          <w:rFonts w:ascii="Garamond" w:hAnsi="Garamond"/>
          <w:bCs/>
          <w:sz w:val="23"/>
          <w:szCs w:val="23"/>
        </w:rPr>
        <w:t xml:space="preserve">hanno sottoscritto un </w:t>
      </w:r>
      <w:r w:rsidRPr="00CC74B0">
        <w:rPr>
          <w:rFonts w:ascii="Garamond" w:hAnsi="Garamond"/>
          <w:bCs/>
          <w:i/>
          <w:sz w:val="23"/>
          <w:szCs w:val="23"/>
        </w:rPr>
        <w:t>term sheet</w:t>
      </w:r>
      <w:r w:rsidRPr="0078247D">
        <w:rPr>
          <w:rFonts w:ascii="Garamond" w:hAnsi="Garamond"/>
          <w:bCs/>
          <w:sz w:val="23"/>
          <w:szCs w:val="23"/>
        </w:rPr>
        <w:t xml:space="preserve"> vincolante</w:t>
      </w:r>
      <w:r>
        <w:rPr>
          <w:rFonts w:ascii="Garamond" w:hAnsi="Garamond"/>
          <w:bCs/>
          <w:sz w:val="23"/>
          <w:szCs w:val="23"/>
        </w:rPr>
        <w:t xml:space="preserve"> </w:t>
      </w:r>
      <w:r w:rsidRPr="0078247D">
        <w:rPr>
          <w:rFonts w:ascii="Garamond" w:hAnsi="Garamond"/>
          <w:bCs/>
          <w:sz w:val="23"/>
          <w:szCs w:val="23"/>
        </w:rPr>
        <w:t xml:space="preserve">contenente, tra l’altro, alcune pattuizioni parasociali rilevanti ai sensi dell’art. 122, comma 5, del </w:t>
      </w:r>
      <w:r>
        <w:rPr>
          <w:rFonts w:ascii="Garamond" w:hAnsi="Garamond"/>
          <w:bCs/>
          <w:sz w:val="23"/>
          <w:szCs w:val="23"/>
        </w:rPr>
        <w:t>TUF</w:t>
      </w:r>
      <w:r w:rsidR="00AA5865">
        <w:rPr>
          <w:rFonts w:ascii="Garamond" w:hAnsi="Garamond"/>
          <w:bCs/>
          <w:sz w:val="23"/>
          <w:szCs w:val="23"/>
        </w:rPr>
        <w:t xml:space="preserve"> </w:t>
      </w:r>
      <w:r>
        <w:rPr>
          <w:rFonts w:ascii="Garamond" w:hAnsi="Garamond"/>
          <w:bCs/>
          <w:sz w:val="23"/>
          <w:szCs w:val="23"/>
        </w:rPr>
        <w:t>avent</w:t>
      </w:r>
      <w:r w:rsidR="00AA5865">
        <w:rPr>
          <w:rFonts w:ascii="Garamond" w:hAnsi="Garamond"/>
          <w:bCs/>
          <w:sz w:val="23"/>
          <w:szCs w:val="23"/>
        </w:rPr>
        <w:t>i</w:t>
      </w:r>
      <w:r>
        <w:rPr>
          <w:rFonts w:ascii="Garamond" w:hAnsi="Garamond"/>
          <w:bCs/>
          <w:sz w:val="23"/>
          <w:szCs w:val="23"/>
        </w:rPr>
        <w:t xml:space="preserve"> a oggetto</w:t>
      </w:r>
      <w:r w:rsidRPr="00682BD5">
        <w:rPr>
          <w:rFonts w:ascii="Garamond" w:hAnsi="Garamond"/>
          <w:sz w:val="23"/>
          <w:szCs w:val="23"/>
        </w:rPr>
        <w:t>: (i) la circolazione delle azioni della società risultante dalla Fusione</w:t>
      </w:r>
      <w:r>
        <w:rPr>
          <w:rFonts w:ascii="Garamond" w:hAnsi="Garamond"/>
          <w:sz w:val="23"/>
          <w:szCs w:val="23"/>
        </w:rPr>
        <w:t>; e (ii) la costituzione dei comitati interni al Consiglio di Amministrazione della società risultante dalla Fusione.</w:t>
      </w:r>
      <w:r w:rsidR="00AA5865">
        <w:rPr>
          <w:rFonts w:ascii="Garamond" w:hAnsi="Garamond"/>
          <w:sz w:val="23"/>
          <w:szCs w:val="23"/>
        </w:rPr>
        <w:t xml:space="preserve"> Nel medesimo </w:t>
      </w:r>
      <w:r w:rsidR="00AA5865" w:rsidRPr="00AB3E7D">
        <w:rPr>
          <w:rFonts w:ascii="Garamond" w:hAnsi="Garamond"/>
          <w:i/>
          <w:sz w:val="23"/>
          <w:szCs w:val="23"/>
        </w:rPr>
        <w:t>term sheet</w:t>
      </w:r>
      <w:r w:rsidR="00AA5865">
        <w:rPr>
          <w:rFonts w:ascii="Garamond" w:hAnsi="Garamond"/>
          <w:sz w:val="23"/>
          <w:szCs w:val="23"/>
        </w:rPr>
        <w:t xml:space="preserve">, </w:t>
      </w:r>
      <w:r w:rsidR="00AA5865" w:rsidRPr="00AA5865">
        <w:rPr>
          <w:rFonts w:ascii="Garamond" w:hAnsi="Garamond"/>
          <w:bCs/>
          <w:sz w:val="23"/>
          <w:szCs w:val="23"/>
        </w:rPr>
        <w:t xml:space="preserve">Space2 e Leonardo si sono impegnate a riflettere </w:t>
      </w:r>
      <w:r w:rsidR="00AA5865">
        <w:rPr>
          <w:rFonts w:ascii="Garamond" w:hAnsi="Garamond"/>
          <w:bCs/>
          <w:sz w:val="23"/>
          <w:szCs w:val="23"/>
        </w:rPr>
        <w:t xml:space="preserve">le </w:t>
      </w:r>
      <w:r w:rsidR="00AA5865" w:rsidRPr="00AA5865">
        <w:rPr>
          <w:rFonts w:ascii="Garamond" w:hAnsi="Garamond"/>
          <w:bCs/>
          <w:sz w:val="23"/>
          <w:szCs w:val="23"/>
        </w:rPr>
        <w:t xml:space="preserve">pattuizioni parasociali </w:t>
      </w:r>
      <w:r w:rsidR="00AA5865">
        <w:rPr>
          <w:rFonts w:ascii="Garamond" w:hAnsi="Garamond"/>
          <w:bCs/>
          <w:sz w:val="23"/>
          <w:szCs w:val="23"/>
        </w:rPr>
        <w:t xml:space="preserve">ivi </w:t>
      </w:r>
      <w:r w:rsidR="00AA5865" w:rsidRPr="00AA5865">
        <w:rPr>
          <w:rFonts w:ascii="Garamond" w:hAnsi="Garamond"/>
          <w:bCs/>
          <w:sz w:val="23"/>
          <w:szCs w:val="23"/>
        </w:rPr>
        <w:t xml:space="preserve">contenute in un patto parasociale </w:t>
      </w:r>
      <w:r w:rsidR="00B36CAC">
        <w:rPr>
          <w:rFonts w:ascii="Garamond" w:hAnsi="Garamond"/>
          <w:bCs/>
          <w:sz w:val="23"/>
          <w:szCs w:val="23"/>
        </w:rPr>
        <w:t xml:space="preserve">autonomo </w:t>
      </w:r>
      <w:r w:rsidR="00AA5865">
        <w:rPr>
          <w:rFonts w:ascii="Garamond" w:hAnsi="Garamond"/>
          <w:bCs/>
          <w:sz w:val="23"/>
          <w:szCs w:val="23"/>
        </w:rPr>
        <w:t xml:space="preserve">da sottoscriversi al </w:t>
      </w:r>
      <w:r w:rsidR="00AA5865" w:rsidRPr="00AB3E7D">
        <w:rPr>
          <w:rFonts w:ascii="Garamond" w:hAnsi="Garamond"/>
          <w:bCs/>
          <w:i/>
          <w:sz w:val="23"/>
          <w:szCs w:val="23"/>
        </w:rPr>
        <w:t>closing</w:t>
      </w:r>
      <w:r w:rsidR="00AA5865">
        <w:rPr>
          <w:rFonts w:ascii="Garamond" w:hAnsi="Garamond"/>
          <w:bCs/>
          <w:sz w:val="23"/>
          <w:szCs w:val="23"/>
        </w:rPr>
        <w:t xml:space="preserve"> dell’Acquisizione e con effetto </w:t>
      </w:r>
      <w:r w:rsidR="00AA5865" w:rsidRPr="00AA5865">
        <w:rPr>
          <w:rFonts w:ascii="Garamond" w:hAnsi="Garamond"/>
          <w:bCs/>
          <w:sz w:val="23"/>
          <w:szCs w:val="23"/>
        </w:rPr>
        <w:t>dalla data di efficacia della Fusione</w:t>
      </w:r>
      <w:r w:rsidR="00B36CAC">
        <w:rPr>
          <w:rFonts w:ascii="Garamond" w:hAnsi="Garamond"/>
          <w:bCs/>
          <w:sz w:val="23"/>
          <w:szCs w:val="23"/>
        </w:rPr>
        <w:t>.</w:t>
      </w:r>
    </w:p>
    <w:p w:rsidR="00713C5F" w:rsidRPr="00713C5F" w:rsidRDefault="00713C5F" w:rsidP="00713C5F">
      <w:pPr>
        <w:pStyle w:val="NormalWeb"/>
        <w:jc w:val="both"/>
        <w:rPr>
          <w:rFonts w:ascii="Garamond" w:hAnsi="Garamond"/>
          <w:bCs/>
          <w:sz w:val="23"/>
          <w:szCs w:val="23"/>
        </w:rPr>
      </w:pPr>
      <w:r w:rsidRPr="00713C5F">
        <w:rPr>
          <w:rFonts w:ascii="Garamond" w:hAnsi="Garamond"/>
          <w:bCs/>
          <w:sz w:val="23"/>
          <w:szCs w:val="23"/>
        </w:rPr>
        <w:t>(</w:t>
      </w:r>
      <w:r w:rsidR="00E50529">
        <w:rPr>
          <w:rFonts w:ascii="Garamond" w:hAnsi="Garamond"/>
          <w:bCs/>
          <w:sz w:val="23"/>
          <w:szCs w:val="23"/>
        </w:rPr>
        <w:t>C</w:t>
      </w:r>
      <w:r w:rsidRPr="00713C5F">
        <w:rPr>
          <w:rFonts w:ascii="Garamond" w:hAnsi="Garamond"/>
          <w:bCs/>
          <w:sz w:val="23"/>
          <w:szCs w:val="23"/>
        </w:rPr>
        <w:t xml:space="preserve">) </w:t>
      </w:r>
      <w:r>
        <w:rPr>
          <w:rFonts w:ascii="Garamond" w:hAnsi="Garamond"/>
          <w:bCs/>
          <w:sz w:val="23"/>
          <w:szCs w:val="23"/>
        </w:rPr>
        <w:t>I</w:t>
      </w:r>
      <w:r w:rsidRPr="00713C5F">
        <w:rPr>
          <w:rFonts w:ascii="Garamond" w:hAnsi="Garamond"/>
          <w:bCs/>
          <w:sz w:val="23"/>
          <w:szCs w:val="23"/>
        </w:rPr>
        <w:t xml:space="preserve">n esecuzione dell’operazione di </w:t>
      </w:r>
      <w:r w:rsidRPr="00713C5F">
        <w:rPr>
          <w:rFonts w:ascii="Garamond" w:hAnsi="Garamond"/>
          <w:bCs/>
          <w:i/>
          <w:sz w:val="23"/>
          <w:szCs w:val="23"/>
        </w:rPr>
        <w:t>business combination</w:t>
      </w:r>
      <w:r w:rsidRPr="00713C5F">
        <w:rPr>
          <w:rFonts w:ascii="Garamond" w:hAnsi="Garamond"/>
          <w:bCs/>
          <w:sz w:val="23"/>
          <w:szCs w:val="23"/>
        </w:rPr>
        <w:t xml:space="preserve"> approvata dall’assemblea di Space2 del 1º dicembre 2016, </w:t>
      </w:r>
      <w:r>
        <w:rPr>
          <w:rFonts w:ascii="Garamond" w:hAnsi="Garamond"/>
          <w:bCs/>
          <w:sz w:val="23"/>
          <w:szCs w:val="23"/>
        </w:rPr>
        <w:t xml:space="preserve">in data 31 marzo 2017 </w:t>
      </w:r>
      <w:r w:rsidRPr="00713C5F">
        <w:rPr>
          <w:rFonts w:ascii="Garamond" w:hAnsi="Garamond"/>
          <w:bCs/>
          <w:sz w:val="23"/>
          <w:szCs w:val="23"/>
        </w:rPr>
        <w:t>è stata perfezionata l’</w:t>
      </w:r>
      <w:r>
        <w:rPr>
          <w:rFonts w:ascii="Garamond" w:hAnsi="Garamond"/>
          <w:bCs/>
          <w:sz w:val="23"/>
          <w:szCs w:val="23"/>
        </w:rPr>
        <w:t>A</w:t>
      </w:r>
      <w:r w:rsidRPr="00713C5F">
        <w:rPr>
          <w:rFonts w:ascii="Garamond" w:hAnsi="Garamond"/>
          <w:bCs/>
          <w:sz w:val="23"/>
          <w:szCs w:val="23"/>
        </w:rPr>
        <w:t xml:space="preserve">cquisizione </w:t>
      </w:r>
      <w:r w:rsidR="00671546">
        <w:rPr>
          <w:rFonts w:ascii="Garamond" w:hAnsi="Garamond"/>
          <w:bCs/>
          <w:sz w:val="23"/>
          <w:szCs w:val="23"/>
        </w:rPr>
        <w:t xml:space="preserve">ed </w:t>
      </w:r>
      <w:r w:rsidRPr="00713C5F">
        <w:rPr>
          <w:rFonts w:ascii="Garamond" w:hAnsi="Garamond"/>
          <w:bCs/>
          <w:sz w:val="23"/>
          <w:szCs w:val="23"/>
        </w:rPr>
        <w:t xml:space="preserve">è stato stipulato l’atto di </w:t>
      </w:r>
      <w:r w:rsidR="00671546">
        <w:rPr>
          <w:rFonts w:ascii="Garamond" w:hAnsi="Garamond"/>
          <w:bCs/>
          <w:sz w:val="23"/>
          <w:szCs w:val="23"/>
        </w:rPr>
        <w:t>F</w:t>
      </w:r>
      <w:r w:rsidRPr="00713C5F">
        <w:rPr>
          <w:rFonts w:ascii="Garamond" w:hAnsi="Garamond"/>
          <w:bCs/>
          <w:sz w:val="23"/>
          <w:szCs w:val="23"/>
        </w:rPr>
        <w:t>usione</w:t>
      </w:r>
      <w:r w:rsidR="00B36CAC">
        <w:rPr>
          <w:rFonts w:ascii="Garamond" w:hAnsi="Garamond"/>
          <w:bCs/>
          <w:sz w:val="23"/>
          <w:szCs w:val="23"/>
        </w:rPr>
        <w:t>, iscritto in data 4 aprile 2017</w:t>
      </w:r>
      <w:r w:rsidR="00671546">
        <w:rPr>
          <w:rFonts w:ascii="Garamond" w:hAnsi="Garamond"/>
          <w:bCs/>
          <w:sz w:val="23"/>
          <w:szCs w:val="23"/>
        </w:rPr>
        <w:t>.</w:t>
      </w:r>
      <w:r w:rsidR="00671546" w:rsidRPr="00671546">
        <w:rPr>
          <w:rFonts w:ascii="Garamond" w:hAnsi="Garamond"/>
          <w:sz w:val="23"/>
          <w:szCs w:val="23"/>
        </w:rPr>
        <w:t xml:space="preserve"> </w:t>
      </w:r>
      <w:r w:rsidR="00671546">
        <w:rPr>
          <w:rFonts w:ascii="Garamond" w:hAnsi="Garamond"/>
          <w:sz w:val="23"/>
          <w:szCs w:val="23"/>
        </w:rPr>
        <w:t>G</w:t>
      </w:r>
      <w:r w:rsidR="00671546" w:rsidRPr="00671546">
        <w:rPr>
          <w:rFonts w:ascii="Garamond" w:hAnsi="Garamond"/>
          <w:sz w:val="23"/>
          <w:szCs w:val="23"/>
        </w:rPr>
        <w:t>li effetti civilistici, contabili e fiscali della Fusione</w:t>
      </w:r>
      <w:r w:rsidR="00671546">
        <w:rPr>
          <w:rFonts w:ascii="Garamond" w:hAnsi="Garamond"/>
          <w:sz w:val="23"/>
          <w:szCs w:val="23"/>
        </w:rPr>
        <w:t xml:space="preserve"> decorreranno dal 10 aprile 2017</w:t>
      </w:r>
      <w:r w:rsidR="00B36CAC">
        <w:rPr>
          <w:rFonts w:ascii="Garamond" w:hAnsi="Garamond"/>
          <w:sz w:val="23"/>
          <w:szCs w:val="23"/>
        </w:rPr>
        <w:t xml:space="preserve"> </w:t>
      </w:r>
      <w:r w:rsidR="00B36CAC" w:rsidRPr="00B36CAC">
        <w:rPr>
          <w:rFonts w:ascii="Garamond" w:hAnsi="Garamond"/>
          <w:sz w:val="23"/>
          <w:szCs w:val="23"/>
        </w:rPr>
        <w:t>(la “</w:t>
      </w:r>
      <w:r w:rsidR="00B36CAC" w:rsidRPr="00B36CAC">
        <w:rPr>
          <w:rFonts w:ascii="Garamond" w:hAnsi="Garamond"/>
          <w:b/>
          <w:sz w:val="23"/>
          <w:szCs w:val="23"/>
        </w:rPr>
        <w:t>Data di Efficacia della Fusione</w:t>
      </w:r>
      <w:r w:rsidR="00B36CAC" w:rsidRPr="00B36CAC">
        <w:rPr>
          <w:rFonts w:ascii="Garamond" w:hAnsi="Garamond"/>
          <w:sz w:val="23"/>
          <w:szCs w:val="23"/>
        </w:rPr>
        <w:t>”)</w:t>
      </w:r>
      <w:r w:rsidR="00671546" w:rsidRPr="00671546">
        <w:rPr>
          <w:rFonts w:ascii="Garamond" w:hAnsi="Garamond"/>
          <w:sz w:val="23"/>
          <w:szCs w:val="23"/>
        </w:rPr>
        <w:t xml:space="preserve">. </w:t>
      </w:r>
      <w:r w:rsidR="00671546" w:rsidRPr="00C01131">
        <w:rPr>
          <w:rFonts w:ascii="Garamond" w:hAnsi="Garamond"/>
          <w:sz w:val="23"/>
          <w:szCs w:val="23"/>
        </w:rPr>
        <w:t xml:space="preserve">Per effetto della Fusione, a partire dalla </w:t>
      </w:r>
      <w:r w:rsidR="00671546">
        <w:rPr>
          <w:rFonts w:ascii="Garamond" w:hAnsi="Garamond"/>
          <w:sz w:val="23"/>
          <w:szCs w:val="23"/>
        </w:rPr>
        <w:t>D</w:t>
      </w:r>
      <w:r w:rsidR="00671546" w:rsidRPr="00C01131">
        <w:rPr>
          <w:rFonts w:ascii="Garamond" w:hAnsi="Garamond"/>
          <w:sz w:val="23"/>
          <w:szCs w:val="23"/>
        </w:rPr>
        <w:t xml:space="preserve">ata di </w:t>
      </w:r>
      <w:r w:rsidR="00671546">
        <w:rPr>
          <w:rFonts w:ascii="Garamond" w:hAnsi="Garamond"/>
          <w:sz w:val="23"/>
          <w:szCs w:val="23"/>
        </w:rPr>
        <w:t>E</w:t>
      </w:r>
      <w:r w:rsidR="00671546" w:rsidRPr="00C01131">
        <w:rPr>
          <w:rFonts w:ascii="Garamond" w:hAnsi="Garamond"/>
          <w:sz w:val="23"/>
          <w:szCs w:val="23"/>
        </w:rPr>
        <w:t xml:space="preserve">fficacia della </w:t>
      </w:r>
      <w:r w:rsidR="00671546">
        <w:rPr>
          <w:rFonts w:ascii="Garamond" w:hAnsi="Garamond"/>
          <w:sz w:val="23"/>
          <w:szCs w:val="23"/>
        </w:rPr>
        <w:t>Fusione</w:t>
      </w:r>
      <w:r w:rsidR="00671546" w:rsidRPr="00C01131">
        <w:rPr>
          <w:rFonts w:ascii="Garamond" w:hAnsi="Garamond"/>
          <w:sz w:val="23"/>
          <w:szCs w:val="23"/>
        </w:rPr>
        <w:t xml:space="preserve"> Space</w:t>
      </w:r>
      <w:r w:rsidR="00671546">
        <w:rPr>
          <w:rFonts w:ascii="Garamond" w:hAnsi="Garamond"/>
          <w:sz w:val="23"/>
          <w:szCs w:val="23"/>
        </w:rPr>
        <w:t>2</w:t>
      </w:r>
      <w:r w:rsidR="00671546" w:rsidRPr="00C01131">
        <w:rPr>
          <w:rFonts w:ascii="Garamond" w:hAnsi="Garamond"/>
          <w:sz w:val="23"/>
          <w:szCs w:val="23"/>
        </w:rPr>
        <w:t xml:space="preserve"> muterà la propria ragione sociale in </w:t>
      </w:r>
      <w:r w:rsidR="00671546">
        <w:rPr>
          <w:rFonts w:ascii="Garamond" w:hAnsi="Garamond"/>
          <w:sz w:val="23"/>
          <w:szCs w:val="23"/>
        </w:rPr>
        <w:t>Avio</w:t>
      </w:r>
      <w:r w:rsidR="00671546" w:rsidRPr="00C01131">
        <w:rPr>
          <w:rFonts w:ascii="Garamond" w:hAnsi="Garamond"/>
          <w:sz w:val="23"/>
          <w:szCs w:val="23"/>
        </w:rPr>
        <w:t xml:space="preserve"> S.p.A., cosicché gli azionisti di Space</w:t>
      </w:r>
      <w:r w:rsidR="00671546">
        <w:rPr>
          <w:rFonts w:ascii="Garamond" w:hAnsi="Garamond"/>
          <w:sz w:val="23"/>
          <w:szCs w:val="23"/>
        </w:rPr>
        <w:t>2</w:t>
      </w:r>
      <w:r w:rsidR="00671546" w:rsidRPr="00C01131">
        <w:rPr>
          <w:rFonts w:ascii="Garamond" w:hAnsi="Garamond"/>
          <w:sz w:val="23"/>
          <w:szCs w:val="23"/>
        </w:rPr>
        <w:t xml:space="preserve">, successivamente a tale data, diventeranno azionisti di </w:t>
      </w:r>
      <w:r w:rsidR="00671546">
        <w:rPr>
          <w:rFonts w:ascii="Garamond" w:hAnsi="Garamond"/>
          <w:sz w:val="23"/>
          <w:szCs w:val="23"/>
        </w:rPr>
        <w:t>Avio</w:t>
      </w:r>
      <w:r w:rsidR="00671546" w:rsidRPr="00C01131">
        <w:rPr>
          <w:rFonts w:ascii="Garamond" w:hAnsi="Garamond"/>
          <w:sz w:val="23"/>
          <w:szCs w:val="23"/>
        </w:rPr>
        <w:t xml:space="preserve">; nei paragrafi </w:t>
      </w:r>
      <w:r w:rsidR="00671546">
        <w:rPr>
          <w:rFonts w:ascii="Garamond" w:hAnsi="Garamond"/>
          <w:sz w:val="23"/>
          <w:szCs w:val="23"/>
        </w:rPr>
        <w:t>che seguono</w:t>
      </w:r>
      <w:r w:rsidR="00671546" w:rsidRPr="00C01131">
        <w:rPr>
          <w:rFonts w:ascii="Garamond" w:hAnsi="Garamond"/>
          <w:sz w:val="23"/>
          <w:szCs w:val="23"/>
        </w:rPr>
        <w:t xml:space="preserve">, pertanto, ogni riferimento a </w:t>
      </w:r>
      <w:r w:rsidR="00671546">
        <w:rPr>
          <w:rFonts w:ascii="Garamond" w:hAnsi="Garamond"/>
          <w:sz w:val="23"/>
          <w:szCs w:val="23"/>
        </w:rPr>
        <w:t>“Space2”</w:t>
      </w:r>
      <w:r w:rsidR="00671546" w:rsidRPr="00C01131">
        <w:rPr>
          <w:rFonts w:ascii="Garamond" w:hAnsi="Garamond"/>
          <w:sz w:val="23"/>
          <w:szCs w:val="23"/>
        </w:rPr>
        <w:t xml:space="preserve"> </w:t>
      </w:r>
      <w:r w:rsidR="00B2366D">
        <w:rPr>
          <w:rFonts w:ascii="Garamond" w:hAnsi="Garamond"/>
          <w:sz w:val="23"/>
          <w:szCs w:val="23"/>
        </w:rPr>
        <w:t xml:space="preserve">o all’ “Emittente” </w:t>
      </w:r>
      <w:r w:rsidR="00671546" w:rsidRPr="00C01131">
        <w:rPr>
          <w:rFonts w:ascii="Garamond" w:hAnsi="Garamond"/>
          <w:sz w:val="23"/>
          <w:szCs w:val="23"/>
        </w:rPr>
        <w:t>dovrà intendersi effettuato alla società risultante dalla Fusione.</w:t>
      </w:r>
    </w:p>
    <w:p w:rsidR="00127D82" w:rsidRPr="00363C89" w:rsidRDefault="00CC74B0" w:rsidP="00286FA6">
      <w:pPr>
        <w:pStyle w:val="NormalWeb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sz w:val="23"/>
          <w:szCs w:val="23"/>
        </w:rPr>
        <w:lastRenderedPageBreak/>
        <w:t>(</w:t>
      </w:r>
      <w:r w:rsidR="00451E12">
        <w:rPr>
          <w:rFonts w:ascii="Garamond" w:hAnsi="Garamond"/>
          <w:sz w:val="23"/>
          <w:szCs w:val="23"/>
        </w:rPr>
        <w:t>D</w:t>
      </w:r>
      <w:r>
        <w:rPr>
          <w:rFonts w:ascii="Garamond" w:hAnsi="Garamond"/>
          <w:sz w:val="23"/>
          <w:szCs w:val="23"/>
        </w:rPr>
        <w:t xml:space="preserve">) </w:t>
      </w:r>
      <w:r w:rsidR="00671546">
        <w:rPr>
          <w:rFonts w:ascii="Garamond" w:hAnsi="Garamond"/>
          <w:sz w:val="23"/>
          <w:szCs w:val="23"/>
        </w:rPr>
        <w:t xml:space="preserve">Sempre in data 31 marzo 2017, </w:t>
      </w:r>
      <w:r w:rsidR="00041035">
        <w:rPr>
          <w:rFonts w:ascii="Garamond" w:hAnsi="Garamond"/>
          <w:sz w:val="23"/>
          <w:szCs w:val="23"/>
        </w:rPr>
        <w:t xml:space="preserve">in attuazione delle previsioni del </w:t>
      </w:r>
      <w:r w:rsidR="00041035">
        <w:rPr>
          <w:rFonts w:ascii="Garamond" w:hAnsi="Garamond"/>
          <w:i/>
          <w:sz w:val="23"/>
          <w:szCs w:val="23"/>
        </w:rPr>
        <w:t xml:space="preserve">term sheet </w:t>
      </w:r>
      <w:r w:rsidR="00041035">
        <w:rPr>
          <w:rFonts w:ascii="Garamond" w:hAnsi="Garamond"/>
          <w:sz w:val="23"/>
          <w:szCs w:val="23"/>
        </w:rPr>
        <w:t>vincolante del 19 ottobre 2016</w:t>
      </w:r>
      <w:r w:rsidR="00363C89">
        <w:rPr>
          <w:rFonts w:ascii="Garamond" w:hAnsi="Garamond"/>
          <w:sz w:val="23"/>
          <w:szCs w:val="23"/>
        </w:rPr>
        <w:t>,</w:t>
      </w:r>
      <w:r w:rsidR="00041035">
        <w:rPr>
          <w:rFonts w:ascii="Garamond" w:hAnsi="Garamond"/>
          <w:sz w:val="23"/>
          <w:szCs w:val="23"/>
        </w:rPr>
        <w:t xml:space="preserve"> </w:t>
      </w:r>
      <w:r w:rsidR="00671546">
        <w:rPr>
          <w:rFonts w:ascii="Garamond" w:hAnsi="Garamond"/>
          <w:sz w:val="23"/>
          <w:szCs w:val="23"/>
        </w:rPr>
        <w:t>Space2 e Leonardo hanno sottoscritto</w:t>
      </w:r>
      <w:r w:rsidR="00041035">
        <w:rPr>
          <w:rFonts w:ascii="Garamond" w:hAnsi="Garamond"/>
          <w:sz w:val="23"/>
          <w:szCs w:val="23"/>
        </w:rPr>
        <w:t xml:space="preserve"> il Patto Para</w:t>
      </w:r>
      <w:r w:rsidR="00363C89">
        <w:rPr>
          <w:rFonts w:ascii="Garamond" w:hAnsi="Garamond"/>
          <w:sz w:val="23"/>
          <w:szCs w:val="23"/>
        </w:rPr>
        <w:t>sociale</w:t>
      </w:r>
      <w:r w:rsidR="00D6212F">
        <w:rPr>
          <w:rFonts w:ascii="Garamond" w:hAnsi="Garamond"/>
          <w:sz w:val="23"/>
          <w:szCs w:val="23"/>
        </w:rPr>
        <w:t>,</w:t>
      </w:r>
      <w:r w:rsidR="00363C89">
        <w:rPr>
          <w:rFonts w:ascii="Garamond" w:hAnsi="Garamond"/>
          <w:sz w:val="23"/>
          <w:szCs w:val="23"/>
        </w:rPr>
        <w:t xml:space="preserve"> </w:t>
      </w:r>
      <w:r w:rsidR="00D6212F">
        <w:rPr>
          <w:rFonts w:ascii="Garamond" w:hAnsi="Garamond"/>
          <w:sz w:val="23"/>
          <w:szCs w:val="23"/>
        </w:rPr>
        <w:t xml:space="preserve">che </w:t>
      </w:r>
      <w:r w:rsidR="00D6212F">
        <w:rPr>
          <w:rFonts w:ascii="Garamond" w:hAnsi="Garamond"/>
          <w:bCs/>
          <w:sz w:val="23"/>
          <w:szCs w:val="23"/>
        </w:rPr>
        <w:t>riproduce le previsioni di natura parasociale contenute n</w:t>
      </w:r>
      <w:r w:rsidR="00D6212F" w:rsidRPr="00D6212F">
        <w:rPr>
          <w:rFonts w:ascii="Garamond" w:hAnsi="Garamond"/>
          <w:bCs/>
          <w:sz w:val="23"/>
          <w:szCs w:val="23"/>
        </w:rPr>
        <w:t xml:space="preserve">el </w:t>
      </w:r>
      <w:r w:rsidR="00D6212F">
        <w:rPr>
          <w:rFonts w:ascii="Garamond" w:hAnsi="Garamond"/>
          <w:i/>
          <w:sz w:val="23"/>
          <w:szCs w:val="23"/>
        </w:rPr>
        <w:t xml:space="preserve">term </w:t>
      </w:r>
      <w:r w:rsidR="00D6212F" w:rsidRPr="00D6212F">
        <w:rPr>
          <w:rFonts w:ascii="Garamond" w:hAnsi="Garamond"/>
          <w:i/>
          <w:sz w:val="23"/>
          <w:szCs w:val="23"/>
        </w:rPr>
        <w:t>sheet</w:t>
      </w:r>
      <w:r w:rsidR="00D6212F">
        <w:rPr>
          <w:rFonts w:ascii="Garamond" w:hAnsi="Garamond"/>
          <w:sz w:val="23"/>
          <w:szCs w:val="23"/>
        </w:rPr>
        <w:t xml:space="preserve">, come </w:t>
      </w:r>
      <w:r w:rsidR="00363C89">
        <w:rPr>
          <w:rFonts w:ascii="Garamond" w:hAnsi="Garamond"/>
          <w:sz w:val="23"/>
          <w:szCs w:val="23"/>
        </w:rPr>
        <w:t>di seguito riportate.</w:t>
      </w:r>
    </w:p>
    <w:p w:rsidR="00DA34E5" w:rsidRPr="00682BD5" w:rsidRDefault="00145583" w:rsidP="00286FA6">
      <w:pPr>
        <w:pStyle w:val="NormalWeb"/>
        <w:jc w:val="both"/>
        <w:rPr>
          <w:rFonts w:ascii="Garamond" w:hAnsi="Garamond"/>
          <w:b/>
          <w:bCs/>
          <w:sz w:val="23"/>
          <w:szCs w:val="23"/>
          <w:u w:val="single"/>
        </w:rPr>
      </w:pPr>
      <w:r>
        <w:rPr>
          <w:rFonts w:ascii="Garamond" w:hAnsi="Garamond"/>
          <w:b/>
          <w:bCs/>
          <w:sz w:val="23"/>
          <w:szCs w:val="23"/>
        </w:rPr>
        <w:t>2</w:t>
      </w:r>
      <w:r w:rsidR="000B4F9E" w:rsidRPr="00682BD5">
        <w:rPr>
          <w:rFonts w:ascii="Garamond" w:hAnsi="Garamond"/>
          <w:b/>
          <w:bCs/>
          <w:sz w:val="23"/>
          <w:szCs w:val="23"/>
        </w:rPr>
        <w:t xml:space="preserve">. </w:t>
      </w:r>
      <w:r w:rsidR="000B4F9E" w:rsidRPr="00682BD5">
        <w:rPr>
          <w:rFonts w:ascii="Garamond" w:hAnsi="Garamond"/>
          <w:b/>
          <w:bCs/>
          <w:sz w:val="23"/>
          <w:szCs w:val="23"/>
          <w:u w:val="single"/>
        </w:rPr>
        <w:t>Tipo di accordo</w:t>
      </w:r>
    </w:p>
    <w:p w:rsidR="00CB4219" w:rsidRPr="00682BD5" w:rsidRDefault="00CB4219" w:rsidP="00286FA6">
      <w:pPr>
        <w:pStyle w:val="NormalWeb"/>
        <w:jc w:val="both"/>
        <w:rPr>
          <w:rFonts w:ascii="Garamond" w:hAnsi="Garamond"/>
          <w:bCs/>
          <w:sz w:val="23"/>
          <w:szCs w:val="23"/>
        </w:rPr>
      </w:pPr>
      <w:r w:rsidRPr="00682BD5">
        <w:rPr>
          <w:rFonts w:ascii="Garamond" w:hAnsi="Garamond"/>
          <w:bCs/>
          <w:sz w:val="23"/>
          <w:szCs w:val="23"/>
        </w:rPr>
        <w:t xml:space="preserve">Le pattuizioni contenute nel </w:t>
      </w:r>
      <w:r w:rsidR="00363C89">
        <w:rPr>
          <w:rFonts w:ascii="Garamond" w:hAnsi="Garamond"/>
          <w:bCs/>
          <w:sz w:val="23"/>
          <w:szCs w:val="23"/>
        </w:rPr>
        <w:t>Patto Parasociale</w:t>
      </w:r>
      <w:r w:rsidRPr="00682BD5">
        <w:rPr>
          <w:rFonts w:ascii="Garamond" w:hAnsi="Garamond"/>
          <w:bCs/>
          <w:sz w:val="23"/>
          <w:szCs w:val="23"/>
        </w:rPr>
        <w:t xml:space="preserve">, riprodotte in sintesi al paragrafo </w:t>
      </w:r>
      <w:r w:rsidR="00F2241F">
        <w:rPr>
          <w:rFonts w:ascii="Garamond" w:hAnsi="Garamond"/>
          <w:bCs/>
          <w:sz w:val="23"/>
          <w:szCs w:val="23"/>
        </w:rPr>
        <w:t>6</w:t>
      </w:r>
      <w:r w:rsidR="00BB1AD4" w:rsidRPr="00682BD5">
        <w:rPr>
          <w:rFonts w:ascii="Garamond" w:hAnsi="Garamond"/>
          <w:bCs/>
          <w:sz w:val="23"/>
          <w:szCs w:val="23"/>
        </w:rPr>
        <w:t xml:space="preserve"> </w:t>
      </w:r>
      <w:r w:rsidRPr="00682BD5">
        <w:rPr>
          <w:rFonts w:ascii="Garamond" w:hAnsi="Garamond"/>
          <w:bCs/>
          <w:sz w:val="23"/>
          <w:szCs w:val="23"/>
        </w:rPr>
        <w:t xml:space="preserve">che segue, sono riconducibili a pattuizioni parasociali rilevanti a norma </w:t>
      </w:r>
      <w:r w:rsidR="00145583">
        <w:rPr>
          <w:rFonts w:ascii="Garamond" w:hAnsi="Garamond"/>
          <w:sz w:val="23"/>
          <w:szCs w:val="23"/>
        </w:rPr>
        <w:t>dell’</w:t>
      </w:r>
      <w:r w:rsidR="00A67111" w:rsidRPr="00682BD5">
        <w:rPr>
          <w:rFonts w:ascii="Garamond" w:hAnsi="Garamond"/>
          <w:sz w:val="23"/>
          <w:szCs w:val="23"/>
        </w:rPr>
        <w:t>art. 122, commi 1 e 5, lett. b), del TUF.</w:t>
      </w:r>
    </w:p>
    <w:p w:rsidR="00286FA6" w:rsidRPr="00682BD5" w:rsidRDefault="00F2241F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3</w:t>
      </w:r>
      <w:r w:rsidR="00286FA6" w:rsidRPr="00682BD5">
        <w:rPr>
          <w:rFonts w:ascii="Garamond" w:hAnsi="Garamond"/>
          <w:b/>
          <w:bCs/>
          <w:sz w:val="23"/>
          <w:szCs w:val="23"/>
        </w:rPr>
        <w:t>.</w:t>
      </w:r>
      <w:r w:rsidR="00286FA6" w:rsidRPr="00682BD5">
        <w:rPr>
          <w:rFonts w:ascii="Garamond" w:hAnsi="Garamond"/>
          <w:sz w:val="23"/>
          <w:szCs w:val="23"/>
        </w:rPr>
        <w:t xml:space="preserve"> </w:t>
      </w:r>
      <w:r w:rsidR="00286FA6" w:rsidRPr="00682BD5">
        <w:rPr>
          <w:rFonts w:ascii="Garamond" w:hAnsi="Garamond"/>
          <w:b/>
          <w:bCs/>
          <w:sz w:val="23"/>
          <w:szCs w:val="23"/>
          <w:u w:val="single"/>
        </w:rPr>
        <w:t xml:space="preserve">Società i cui strumenti finanziari sono oggetto del </w:t>
      </w:r>
      <w:r w:rsidR="00F82AD4">
        <w:rPr>
          <w:rFonts w:ascii="Garamond" w:hAnsi="Garamond"/>
          <w:b/>
          <w:bCs/>
          <w:sz w:val="23"/>
          <w:szCs w:val="23"/>
          <w:u w:val="single"/>
        </w:rPr>
        <w:t>Patto Parasociale</w:t>
      </w:r>
      <w:r w:rsidR="00286FA6" w:rsidRPr="00682BD5">
        <w:rPr>
          <w:rFonts w:ascii="Garamond" w:hAnsi="Garamond"/>
          <w:sz w:val="23"/>
          <w:szCs w:val="23"/>
        </w:rPr>
        <w:t xml:space="preserve"> </w:t>
      </w:r>
    </w:p>
    <w:p w:rsidR="009B0F34" w:rsidRPr="009B0F34" w:rsidRDefault="00EA0C56" w:rsidP="009B0F34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Le pattuizioni parasociali contenute nel </w:t>
      </w:r>
      <w:r w:rsidR="00363C89">
        <w:rPr>
          <w:rFonts w:ascii="Garamond" w:hAnsi="Garamond"/>
          <w:sz w:val="23"/>
          <w:szCs w:val="23"/>
        </w:rPr>
        <w:t>Patto Parasociale</w:t>
      </w:r>
      <w:r w:rsidR="00267655">
        <w:rPr>
          <w:rFonts w:ascii="Garamond" w:hAnsi="Garamond"/>
          <w:sz w:val="23"/>
          <w:szCs w:val="23"/>
        </w:rPr>
        <w:t xml:space="preserve"> hanno a</w:t>
      </w:r>
      <w:r w:rsidRPr="00682BD5">
        <w:rPr>
          <w:rFonts w:ascii="Garamond" w:hAnsi="Garamond"/>
          <w:sz w:val="23"/>
          <w:szCs w:val="23"/>
        </w:rPr>
        <w:t xml:space="preserve"> oggetto</w:t>
      </w:r>
      <w:r w:rsidR="002A3C51" w:rsidRPr="00682BD5">
        <w:rPr>
          <w:rFonts w:ascii="Garamond" w:hAnsi="Garamond"/>
          <w:sz w:val="23"/>
          <w:szCs w:val="23"/>
        </w:rPr>
        <w:t xml:space="preserve"> </w:t>
      </w:r>
      <w:r w:rsidR="009A4A43" w:rsidRPr="00682BD5">
        <w:rPr>
          <w:rFonts w:ascii="Garamond" w:hAnsi="Garamond"/>
          <w:sz w:val="23"/>
          <w:szCs w:val="23"/>
        </w:rPr>
        <w:t xml:space="preserve">le </w:t>
      </w:r>
      <w:r w:rsidR="002A3C51" w:rsidRPr="00682BD5">
        <w:rPr>
          <w:rFonts w:ascii="Garamond" w:hAnsi="Garamond"/>
          <w:sz w:val="23"/>
          <w:szCs w:val="23"/>
        </w:rPr>
        <w:t>azioni</w:t>
      </w:r>
      <w:r w:rsidR="00363C89">
        <w:rPr>
          <w:rFonts w:ascii="Garamond" w:hAnsi="Garamond"/>
          <w:sz w:val="23"/>
          <w:szCs w:val="23"/>
        </w:rPr>
        <w:t xml:space="preserve"> ordinarie</w:t>
      </w:r>
      <w:r w:rsidR="002A3C51" w:rsidRPr="00682BD5">
        <w:rPr>
          <w:rFonts w:ascii="Garamond" w:hAnsi="Garamond"/>
          <w:sz w:val="23"/>
          <w:szCs w:val="23"/>
        </w:rPr>
        <w:t xml:space="preserve"> </w:t>
      </w:r>
      <w:r w:rsidR="009B0F34">
        <w:rPr>
          <w:rFonts w:ascii="Garamond" w:hAnsi="Garamond"/>
          <w:sz w:val="23"/>
          <w:szCs w:val="23"/>
        </w:rPr>
        <w:t>dell’Emittente</w:t>
      </w:r>
      <w:r w:rsidR="009B0F34" w:rsidRPr="009B0F34">
        <w:rPr>
          <w:rFonts w:ascii="Garamond" w:hAnsi="Garamond"/>
          <w:sz w:val="23"/>
          <w:szCs w:val="23"/>
        </w:rPr>
        <w:t xml:space="preserve"> </w:t>
      </w:r>
      <w:r w:rsidR="009B0F34" w:rsidRPr="009B0F34">
        <w:rPr>
          <w:rFonts w:ascii="Garamond" w:hAnsi="Garamond"/>
          <w:i/>
          <w:sz w:val="23"/>
          <w:szCs w:val="23"/>
        </w:rPr>
        <w:t>post</w:t>
      </w:r>
      <w:r w:rsidR="009B0F34" w:rsidRPr="009B0F34">
        <w:rPr>
          <w:rFonts w:ascii="Garamond" w:hAnsi="Garamond"/>
          <w:sz w:val="23"/>
          <w:szCs w:val="23"/>
        </w:rPr>
        <w:t xml:space="preserve"> Fusione, società </w:t>
      </w:r>
      <w:r w:rsidR="00D3197B">
        <w:rPr>
          <w:rFonts w:ascii="Garamond" w:hAnsi="Garamond"/>
          <w:sz w:val="23"/>
          <w:szCs w:val="23"/>
        </w:rPr>
        <w:t xml:space="preserve">che avrà sede </w:t>
      </w:r>
      <w:r w:rsidR="009B0F34" w:rsidRPr="009B0F34">
        <w:rPr>
          <w:rFonts w:ascii="Garamond" w:hAnsi="Garamond"/>
          <w:sz w:val="23"/>
          <w:szCs w:val="23"/>
        </w:rPr>
        <w:t xml:space="preserve">legale in Roma, via </w:t>
      </w:r>
      <w:r w:rsidR="009B0F34">
        <w:rPr>
          <w:rFonts w:ascii="Garamond" w:hAnsi="Garamond"/>
          <w:sz w:val="23"/>
          <w:szCs w:val="23"/>
        </w:rPr>
        <w:t>Leonida Bissolati, n. 76</w:t>
      </w:r>
      <w:r w:rsidR="009B0F34" w:rsidRPr="009B0F34">
        <w:rPr>
          <w:rFonts w:ascii="Garamond" w:hAnsi="Garamond"/>
          <w:sz w:val="23"/>
          <w:szCs w:val="23"/>
        </w:rPr>
        <w:t xml:space="preserve">, capitale sociale Euro </w:t>
      </w:r>
      <w:r w:rsidR="009B0F34">
        <w:rPr>
          <w:rFonts w:ascii="Garamond" w:hAnsi="Garamond"/>
          <w:sz w:val="23"/>
          <w:szCs w:val="23"/>
        </w:rPr>
        <w:t>90.761.670,00</w:t>
      </w:r>
      <w:r w:rsidR="009B0F34" w:rsidRPr="009B0F34">
        <w:rPr>
          <w:rFonts w:ascii="Garamond" w:hAnsi="Garamond"/>
          <w:sz w:val="23"/>
          <w:szCs w:val="23"/>
        </w:rPr>
        <w:t>.</w:t>
      </w:r>
    </w:p>
    <w:p w:rsidR="00286FA6" w:rsidRPr="00682BD5" w:rsidRDefault="00F2241F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4</w:t>
      </w:r>
      <w:r w:rsidR="00286FA6" w:rsidRPr="00682BD5">
        <w:rPr>
          <w:rFonts w:ascii="Garamond" w:hAnsi="Garamond"/>
          <w:b/>
          <w:bCs/>
          <w:sz w:val="23"/>
          <w:szCs w:val="23"/>
        </w:rPr>
        <w:t>.</w:t>
      </w:r>
      <w:r w:rsidR="00286FA6" w:rsidRPr="00682BD5">
        <w:rPr>
          <w:rFonts w:ascii="Garamond" w:hAnsi="Garamond"/>
          <w:sz w:val="23"/>
          <w:szCs w:val="23"/>
        </w:rPr>
        <w:t xml:space="preserve"> </w:t>
      </w:r>
      <w:r w:rsidR="00EA3F0E" w:rsidRPr="00EA3F0E">
        <w:rPr>
          <w:rFonts w:ascii="Garamond" w:hAnsi="Garamond"/>
          <w:b/>
          <w:sz w:val="23"/>
          <w:szCs w:val="23"/>
          <w:u w:val="single"/>
        </w:rPr>
        <w:t xml:space="preserve">Parti del </w:t>
      </w:r>
      <w:r w:rsidR="00D55208">
        <w:rPr>
          <w:rStyle w:val="Strong"/>
          <w:rFonts w:ascii="Garamond" w:hAnsi="Garamond"/>
          <w:sz w:val="23"/>
          <w:szCs w:val="23"/>
          <w:u w:val="single"/>
        </w:rPr>
        <w:t>Patto Parasociale</w:t>
      </w:r>
      <w:r w:rsidR="009A4A43" w:rsidRPr="00682BD5">
        <w:rPr>
          <w:rFonts w:ascii="Garamond" w:hAnsi="Garamond"/>
          <w:b/>
          <w:bCs/>
          <w:sz w:val="23"/>
          <w:szCs w:val="23"/>
          <w:u w:val="single"/>
        </w:rPr>
        <w:t xml:space="preserve"> e s</w:t>
      </w:r>
      <w:r w:rsidR="00286FA6" w:rsidRPr="00682BD5">
        <w:rPr>
          <w:rFonts w:ascii="Garamond" w:hAnsi="Garamond"/>
          <w:b/>
          <w:bCs/>
          <w:sz w:val="23"/>
          <w:szCs w:val="23"/>
          <w:u w:val="single"/>
        </w:rPr>
        <w:t>trumenti</w:t>
      </w:r>
      <w:r w:rsidR="00286FA6" w:rsidRPr="00682BD5">
        <w:rPr>
          <w:rFonts w:ascii="Garamond" w:hAnsi="Garamond"/>
          <w:sz w:val="23"/>
          <w:szCs w:val="23"/>
          <w:u w:val="single"/>
        </w:rPr>
        <w:t xml:space="preserve"> </w:t>
      </w:r>
      <w:r w:rsidR="00286FA6" w:rsidRPr="00682BD5">
        <w:rPr>
          <w:rStyle w:val="Strong"/>
          <w:rFonts w:ascii="Garamond" w:hAnsi="Garamond"/>
          <w:sz w:val="23"/>
          <w:szCs w:val="23"/>
          <w:u w:val="single"/>
        </w:rPr>
        <w:t>finanziari oggetto del</w:t>
      </w:r>
      <w:r w:rsidR="009A4A43" w:rsidRPr="00682BD5">
        <w:rPr>
          <w:rStyle w:val="Strong"/>
          <w:rFonts w:ascii="Garamond" w:hAnsi="Garamond"/>
          <w:sz w:val="23"/>
          <w:szCs w:val="23"/>
          <w:u w:val="single"/>
        </w:rPr>
        <w:t xml:space="preserve">lo </w:t>
      </w:r>
      <w:r w:rsidR="009A4A43" w:rsidRPr="00F90D64">
        <w:rPr>
          <w:rStyle w:val="Strong"/>
          <w:rFonts w:ascii="Garamond" w:hAnsi="Garamond"/>
          <w:sz w:val="23"/>
          <w:szCs w:val="23"/>
          <w:u w:val="single"/>
        </w:rPr>
        <w:t>stesso</w:t>
      </w:r>
      <w:r w:rsidR="00286FA6" w:rsidRPr="00F90D64">
        <w:rPr>
          <w:rFonts w:ascii="Garamond" w:hAnsi="Garamond"/>
          <w:b/>
          <w:sz w:val="23"/>
          <w:szCs w:val="23"/>
          <w:u w:val="single"/>
        </w:rPr>
        <w:t xml:space="preserve"> </w:t>
      </w:r>
    </w:p>
    <w:p w:rsidR="007C7F12" w:rsidRDefault="009A4A43" w:rsidP="002F158D">
      <w:pPr>
        <w:pStyle w:val="NormalWeb"/>
        <w:jc w:val="both"/>
        <w:rPr>
          <w:rFonts w:ascii="Garamond" w:hAnsi="Garamond"/>
          <w:iCs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Sono parti del </w:t>
      </w:r>
      <w:r w:rsidR="00D55208">
        <w:rPr>
          <w:rFonts w:ascii="Garamond" w:hAnsi="Garamond"/>
          <w:sz w:val="23"/>
          <w:szCs w:val="23"/>
        </w:rPr>
        <w:t>Patto Parasociale</w:t>
      </w:r>
      <w:r w:rsidRPr="00682BD5">
        <w:rPr>
          <w:rFonts w:ascii="Garamond" w:hAnsi="Garamond"/>
          <w:sz w:val="23"/>
          <w:szCs w:val="23"/>
        </w:rPr>
        <w:t xml:space="preserve">: (i) </w:t>
      </w:r>
      <w:r w:rsidR="00F2241F">
        <w:rPr>
          <w:rFonts w:ascii="Garamond" w:hAnsi="Garamond"/>
          <w:sz w:val="23"/>
          <w:szCs w:val="23"/>
        </w:rPr>
        <w:t>Space2</w:t>
      </w:r>
      <w:r w:rsidRPr="00682BD5">
        <w:rPr>
          <w:rFonts w:ascii="Garamond" w:hAnsi="Garamond"/>
          <w:sz w:val="23"/>
          <w:szCs w:val="23"/>
        </w:rPr>
        <w:t>;</w:t>
      </w:r>
      <w:r w:rsidR="00B94C9E" w:rsidRPr="00682BD5">
        <w:rPr>
          <w:rFonts w:ascii="Garamond" w:hAnsi="Garamond"/>
          <w:sz w:val="23"/>
          <w:szCs w:val="23"/>
        </w:rPr>
        <w:t xml:space="preserve"> </w:t>
      </w:r>
      <w:r w:rsidR="00F2241F">
        <w:rPr>
          <w:rFonts w:ascii="Garamond" w:hAnsi="Garamond"/>
          <w:sz w:val="23"/>
          <w:szCs w:val="23"/>
        </w:rPr>
        <w:t xml:space="preserve">e </w:t>
      </w:r>
      <w:r w:rsidR="00B94C9E" w:rsidRPr="00682BD5">
        <w:rPr>
          <w:rFonts w:ascii="Garamond" w:hAnsi="Garamond"/>
          <w:sz w:val="23"/>
          <w:szCs w:val="23"/>
        </w:rPr>
        <w:t xml:space="preserve">(ii) </w:t>
      </w:r>
      <w:r w:rsidR="00F2241F">
        <w:rPr>
          <w:rFonts w:ascii="Garamond" w:hAnsi="Garamond"/>
          <w:sz w:val="23"/>
          <w:szCs w:val="23"/>
        </w:rPr>
        <w:t xml:space="preserve">Leonardo, </w:t>
      </w:r>
      <w:r w:rsidR="00F2241F" w:rsidRPr="00F2241F">
        <w:rPr>
          <w:rFonts w:ascii="Garamond" w:hAnsi="Garamond"/>
          <w:iCs/>
          <w:sz w:val="23"/>
          <w:szCs w:val="23"/>
        </w:rPr>
        <w:t>con sede in Roma, Piazza Monte Grappa, n. 4, capitale sociale pari a Euro 2.543.862.738,00, C.F. e numero d’iscrizione al Registro delle Imprese di Roma 00401990585</w:t>
      </w:r>
      <w:r w:rsidR="001E3B05">
        <w:rPr>
          <w:rFonts w:ascii="Garamond" w:hAnsi="Garamond"/>
          <w:iCs/>
          <w:sz w:val="23"/>
          <w:szCs w:val="23"/>
        </w:rPr>
        <w:t>.</w:t>
      </w:r>
    </w:p>
    <w:p w:rsidR="00293687" w:rsidRDefault="00D55208" w:rsidP="00293687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</w:t>
      </w:r>
      <w:r w:rsidR="009A4A43" w:rsidRPr="00682BD5">
        <w:rPr>
          <w:rFonts w:ascii="Garamond" w:hAnsi="Garamond"/>
          <w:sz w:val="23"/>
          <w:szCs w:val="23"/>
        </w:rPr>
        <w:t xml:space="preserve">ono oggetto </w:t>
      </w:r>
      <w:r>
        <w:rPr>
          <w:rFonts w:ascii="Garamond" w:hAnsi="Garamond"/>
          <w:sz w:val="23"/>
          <w:szCs w:val="23"/>
        </w:rPr>
        <w:t>del Patto Parasociale</w:t>
      </w:r>
      <w:r w:rsidR="009A4A43" w:rsidRPr="00682BD5">
        <w:rPr>
          <w:rFonts w:ascii="Garamond" w:hAnsi="Garamond"/>
          <w:sz w:val="23"/>
          <w:szCs w:val="23"/>
        </w:rPr>
        <w:t xml:space="preserve"> </w:t>
      </w:r>
      <w:r w:rsidR="00DF38A0" w:rsidRPr="00682BD5">
        <w:rPr>
          <w:rFonts w:ascii="Garamond" w:hAnsi="Garamond"/>
          <w:sz w:val="23"/>
          <w:szCs w:val="23"/>
        </w:rPr>
        <w:t xml:space="preserve">tutte </w:t>
      </w:r>
      <w:r w:rsidR="009A4A43" w:rsidRPr="00682BD5">
        <w:rPr>
          <w:rFonts w:ascii="Garamond" w:hAnsi="Garamond"/>
          <w:sz w:val="23"/>
          <w:szCs w:val="23"/>
        </w:rPr>
        <w:t>le azioni</w:t>
      </w:r>
      <w:r>
        <w:rPr>
          <w:rFonts w:ascii="Garamond" w:hAnsi="Garamond"/>
          <w:sz w:val="23"/>
          <w:szCs w:val="23"/>
        </w:rPr>
        <w:t xml:space="preserve"> ordinarie</w:t>
      </w:r>
      <w:r w:rsidR="009A4A43" w:rsidRPr="00682BD5">
        <w:rPr>
          <w:rFonts w:ascii="Garamond" w:hAnsi="Garamond"/>
          <w:sz w:val="23"/>
          <w:szCs w:val="23"/>
        </w:rPr>
        <w:t xml:space="preserve"> </w:t>
      </w:r>
      <w:r w:rsidR="00F82AD4">
        <w:rPr>
          <w:rFonts w:ascii="Garamond" w:hAnsi="Garamond"/>
          <w:sz w:val="23"/>
          <w:szCs w:val="23"/>
        </w:rPr>
        <w:t>dell’Emittente</w:t>
      </w:r>
      <w:r w:rsidR="009A4A43" w:rsidRPr="00682BD5">
        <w:rPr>
          <w:rFonts w:ascii="Garamond" w:hAnsi="Garamond"/>
          <w:sz w:val="23"/>
          <w:szCs w:val="23"/>
        </w:rPr>
        <w:t xml:space="preserve"> che saranno detenute da </w:t>
      </w:r>
      <w:r w:rsidR="00B2427D">
        <w:rPr>
          <w:rFonts w:ascii="Garamond" w:hAnsi="Garamond"/>
          <w:sz w:val="23"/>
          <w:szCs w:val="23"/>
        </w:rPr>
        <w:t xml:space="preserve">Leonardo </w:t>
      </w:r>
      <w:r w:rsidR="009A4A43" w:rsidRPr="00682BD5">
        <w:rPr>
          <w:rFonts w:ascii="Garamond" w:hAnsi="Garamond"/>
          <w:sz w:val="23"/>
          <w:szCs w:val="23"/>
        </w:rPr>
        <w:t>succe</w:t>
      </w:r>
      <w:r w:rsidR="00B2427D">
        <w:rPr>
          <w:rFonts w:ascii="Garamond" w:hAnsi="Garamond"/>
          <w:sz w:val="23"/>
          <w:szCs w:val="23"/>
        </w:rPr>
        <w:t>ssivamente al</w:t>
      </w:r>
      <w:r w:rsidR="00EA3F0E">
        <w:rPr>
          <w:rFonts w:ascii="Garamond" w:hAnsi="Garamond"/>
          <w:sz w:val="23"/>
          <w:szCs w:val="23"/>
        </w:rPr>
        <w:t>,</w:t>
      </w:r>
      <w:r w:rsidR="00B2427D">
        <w:rPr>
          <w:rFonts w:ascii="Garamond" w:hAnsi="Garamond"/>
          <w:sz w:val="23"/>
          <w:szCs w:val="23"/>
        </w:rPr>
        <w:t xml:space="preserve"> e per effetto del</w:t>
      </w:r>
      <w:r w:rsidR="00EA3F0E">
        <w:rPr>
          <w:rFonts w:ascii="Garamond" w:hAnsi="Garamond"/>
          <w:sz w:val="23"/>
          <w:szCs w:val="23"/>
        </w:rPr>
        <w:t>,</w:t>
      </w:r>
      <w:r w:rsidR="009A4A43" w:rsidRPr="00682BD5">
        <w:rPr>
          <w:rFonts w:ascii="Garamond" w:hAnsi="Garamond"/>
          <w:sz w:val="23"/>
          <w:szCs w:val="23"/>
        </w:rPr>
        <w:t xml:space="preserve"> perfezionamento della Fusione</w:t>
      </w:r>
      <w:r w:rsidR="00275F4D" w:rsidRPr="00682BD5">
        <w:rPr>
          <w:rFonts w:ascii="Garamond" w:hAnsi="Garamond"/>
          <w:sz w:val="23"/>
          <w:szCs w:val="23"/>
        </w:rPr>
        <w:t xml:space="preserve"> </w:t>
      </w:r>
      <w:r w:rsidR="008C2ABF">
        <w:rPr>
          <w:rFonts w:ascii="Garamond" w:hAnsi="Garamond"/>
          <w:sz w:val="23"/>
          <w:szCs w:val="23"/>
        </w:rPr>
        <w:t xml:space="preserve">e, pertanto, </w:t>
      </w:r>
      <w:r w:rsidR="00275F4D" w:rsidRPr="00682BD5">
        <w:rPr>
          <w:rFonts w:ascii="Garamond" w:hAnsi="Garamond"/>
          <w:sz w:val="23"/>
          <w:szCs w:val="23"/>
        </w:rPr>
        <w:t xml:space="preserve">le azioni ordinarie assegnate a </w:t>
      </w:r>
      <w:r w:rsidR="00B2427D">
        <w:rPr>
          <w:rFonts w:ascii="Garamond" w:hAnsi="Garamond"/>
          <w:sz w:val="23"/>
          <w:szCs w:val="23"/>
        </w:rPr>
        <w:t>Leonardo</w:t>
      </w:r>
      <w:r w:rsidR="00FB4D62" w:rsidRPr="00682BD5">
        <w:rPr>
          <w:rFonts w:ascii="Garamond" w:hAnsi="Garamond"/>
          <w:sz w:val="23"/>
          <w:szCs w:val="23"/>
        </w:rPr>
        <w:t xml:space="preserve"> in concambio delle azioni ordinarie </w:t>
      </w:r>
      <w:r w:rsidR="00DC08FA">
        <w:rPr>
          <w:rFonts w:ascii="Garamond" w:hAnsi="Garamond"/>
          <w:sz w:val="23"/>
          <w:szCs w:val="23"/>
        </w:rPr>
        <w:t xml:space="preserve">dalla medesima </w:t>
      </w:r>
      <w:r w:rsidR="00FB4D62" w:rsidRPr="00682BD5">
        <w:rPr>
          <w:rFonts w:ascii="Garamond" w:hAnsi="Garamond"/>
          <w:sz w:val="23"/>
          <w:szCs w:val="23"/>
        </w:rPr>
        <w:t xml:space="preserve">detenute </w:t>
      </w:r>
      <w:r w:rsidR="00021706">
        <w:rPr>
          <w:rFonts w:ascii="Garamond" w:hAnsi="Garamond"/>
          <w:sz w:val="23"/>
          <w:szCs w:val="23"/>
        </w:rPr>
        <w:t>in Avio</w:t>
      </w:r>
      <w:r w:rsidR="00EA3F0E">
        <w:rPr>
          <w:rFonts w:ascii="Garamond" w:hAnsi="Garamond"/>
          <w:sz w:val="23"/>
          <w:szCs w:val="23"/>
        </w:rPr>
        <w:t xml:space="preserve"> </w:t>
      </w:r>
      <w:r w:rsidR="00DC08FA">
        <w:rPr>
          <w:rFonts w:ascii="Garamond" w:hAnsi="Garamond"/>
          <w:sz w:val="23"/>
          <w:szCs w:val="23"/>
        </w:rPr>
        <w:t>alla data di stipula dell’atto di Fusione</w:t>
      </w:r>
      <w:r w:rsidR="00021706">
        <w:rPr>
          <w:rFonts w:ascii="Garamond" w:hAnsi="Garamond"/>
          <w:sz w:val="23"/>
          <w:szCs w:val="23"/>
        </w:rPr>
        <w:t>.</w:t>
      </w:r>
      <w:r w:rsidR="00B12A3D">
        <w:rPr>
          <w:rFonts w:ascii="Garamond" w:hAnsi="Garamond"/>
          <w:sz w:val="23"/>
          <w:szCs w:val="23"/>
        </w:rPr>
        <w:t xml:space="preserve"> </w:t>
      </w:r>
    </w:p>
    <w:p w:rsidR="00275F4D" w:rsidRDefault="00275F4D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>La tabella che segue illustra</w:t>
      </w:r>
      <w:r w:rsidR="009D6688" w:rsidRPr="00682BD5">
        <w:rPr>
          <w:rFonts w:ascii="Garamond" w:hAnsi="Garamond"/>
          <w:sz w:val="23"/>
          <w:szCs w:val="23"/>
        </w:rPr>
        <w:t>: (a)</w:t>
      </w:r>
      <w:r w:rsidRPr="00682BD5">
        <w:rPr>
          <w:rFonts w:ascii="Garamond" w:hAnsi="Garamond"/>
          <w:sz w:val="23"/>
          <w:szCs w:val="23"/>
        </w:rPr>
        <w:t xml:space="preserve"> </w:t>
      </w:r>
      <w:r w:rsidR="00FC3841" w:rsidRPr="00682BD5">
        <w:rPr>
          <w:rFonts w:ascii="Garamond" w:hAnsi="Garamond"/>
          <w:sz w:val="23"/>
          <w:szCs w:val="23"/>
        </w:rPr>
        <w:t xml:space="preserve">il numero delle azioni </w:t>
      </w:r>
      <w:r w:rsidR="00DB16BC">
        <w:rPr>
          <w:rFonts w:ascii="Garamond" w:hAnsi="Garamond"/>
          <w:sz w:val="23"/>
          <w:szCs w:val="23"/>
        </w:rPr>
        <w:t>Space2</w:t>
      </w:r>
      <w:r w:rsidR="009B0F34" w:rsidRPr="009B0F34">
        <w:rPr>
          <w:rFonts w:ascii="Garamond" w:hAnsi="Garamond"/>
          <w:sz w:val="23"/>
          <w:szCs w:val="23"/>
        </w:rPr>
        <w:t xml:space="preserve"> </w:t>
      </w:r>
      <w:r w:rsidR="009B0F34" w:rsidRPr="009B0F34">
        <w:rPr>
          <w:rFonts w:ascii="Garamond" w:hAnsi="Garamond"/>
          <w:i/>
          <w:sz w:val="23"/>
          <w:szCs w:val="23"/>
        </w:rPr>
        <w:t>post</w:t>
      </w:r>
      <w:r w:rsidR="009B0F34" w:rsidRPr="009B0F34">
        <w:rPr>
          <w:rFonts w:ascii="Garamond" w:hAnsi="Garamond"/>
          <w:sz w:val="23"/>
          <w:szCs w:val="23"/>
        </w:rPr>
        <w:t xml:space="preserve"> Fusione </w:t>
      </w:r>
      <w:r w:rsidR="00FC3841" w:rsidRPr="00682BD5">
        <w:rPr>
          <w:rFonts w:ascii="Garamond" w:hAnsi="Garamond"/>
          <w:sz w:val="23"/>
          <w:szCs w:val="23"/>
        </w:rPr>
        <w:t xml:space="preserve">che </w:t>
      </w:r>
      <w:r w:rsidR="00D55208">
        <w:rPr>
          <w:rFonts w:ascii="Garamond" w:hAnsi="Garamond"/>
          <w:sz w:val="23"/>
          <w:szCs w:val="23"/>
        </w:rPr>
        <w:t>sono</w:t>
      </w:r>
      <w:r w:rsidR="00FC3841" w:rsidRPr="00682BD5">
        <w:rPr>
          <w:rFonts w:ascii="Garamond" w:hAnsi="Garamond"/>
          <w:sz w:val="23"/>
          <w:szCs w:val="23"/>
        </w:rPr>
        <w:t xml:space="preserve"> conferite nel Patto</w:t>
      </w:r>
      <w:r w:rsidR="00AC0853">
        <w:rPr>
          <w:rFonts w:ascii="Garamond" w:hAnsi="Garamond"/>
          <w:sz w:val="23"/>
          <w:szCs w:val="23"/>
        </w:rPr>
        <w:t xml:space="preserve"> Parasociale</w:t>
      </w:r>
      <w:r w:rsidR="00FC3841" w:rsidRPr="00682BD5">
        <w:rPr>
          <w:rFonts w:ascii="Garamond" w:hAnsi="Garamond"/>
          <w:sz w:val="23"/>
          <w:szCs w:val="23"/>
        </w:rPr>
        <w:t xml:space="preserve">; (b) </w:t>
      </w:r>
      <w:r w:rsidRPr="00682BD5">
        <w:rPr>
          <w:rFonts w:ascii="Garamond" w:hAnsi="Garamond"/>
          <w:sz w:val="23"/>
          <w:szCs w:val="23"/>
        </w:rPr>
        <w:t xml:space="preserve">il numero </w:t>
      </w:r>
      <w:r w:rsidR="00E41749" w:rsidRPr="00682BD5">
        <w:rPr>
          <w:rFonts w:ascii="Garamond" w:hAnsi="Garamond"/>
          <w:sz w:val="23"/>
          <w:szCs w:val="23"/>
        </w:rPr>
        <w:t>dei diritti di voto</w:t>
      </w:r>
      <w:r w:rsidRPr="00682BD5">
        <w:rPr>
          <w:rFonts w:ascii="Garamond" w:hAnsi="Garamond"/>
          <w:sz w:val="23"/>
          <w:szCs w:val="23"/>
        </w:rPr>
        <w:t xml:space="preserve"> </w:t>
      </w:r>
      <w:r w:rsidR="009D6688" w:rsidRPr="00682BD5">
        <w:rPr>
          <w:rFonts w:ascii="Garamond" w:hAnsi="Garamond"/>
          <w:sz w:val="23"/>
          <w:szCs w:val="23"/>
        </w:rPr>
        <w:t>che s</w:t>
      </w:r>
      <w:r w:rsidR="00D55208">
        <w:rPr>
          <w:rFonts w:ascii="Garamond" w:hAnsi="Garamond"/>
          <w:sz w:val="23"/>
          <w:szCs w:val="23"/>
        </w:rPr>
        <w:t>ono</w:t>
      </w:r>
      <w:r w:rsidR="009D6688" w:rsidRPr="00682BD5">
        <w:rPr>
          <w:rFonts w:ascii="Garamond" w:hAnsi="Garamond"/>
          <w:sz w:val="23"/>
          <w:szCs w:val="23"/>
        </w:rPr>
        <w:t xml:space="preserve"> conferit</w:t>
      </w:r>
      <w:r w:rsidR="00E41749" w:rsidRPr="00682BD5">
        <w:rPr>
          <w:rFonts w:ascii="Garamond" w:hAnsi="Garamond"/>
          <w:sz w:val="23"/>
          <w:szCs w:val="23"/>
        </w:rPr>
        <w:t>i</w:t>
      </w:r>
      <w:r w:rsidR="009D6688" w:rsidRPr="00682BD5">
        <w:rPr>
          <w:rFonts w:ascii="Garamond" w:hAnsi="Garamond"/>
          <w:sz w:val="23"/>
          <w:szCs w:val="23"/>
        </w:rPr>
        <w:t xml:space="preserve"> nel Patto</w:t>
      </w:r>
      <w:r w:rsidR="00F90D64">
        <w:rPr>
          <w:rFonts w:ascii="Garamond" w:hAnsi="Garamond"/>
          <w:sz w:val="23"/>
          <w:szCs w:val="23"/>
        </w:rPr>
        <w:t xml:space="preserve"> Parasociale</w:t>
      </w:r>
      <w:r w:rsidR="009D6688" w:rsidRPr="00682BD5">
        <w:rPr>
          <w:rFonts w:ascii="Garamond" w:hAnsi="Garamond"/>
          <w:sz w:val="23"/>
          <w:szCs w:val="23"/>
        </w:rPr>
        <w:t>; (</w:t>
      </w:r>
      <w:r w:rsidR="00FC3841" w:rsidRPr="00682BD5">
        <w:rPr>
          <w:rFonts w:ascii="Garamond" w:hAnsi="Garamond"/>
          <w:sz w:val="23"/>
          <w:szCs w:val="23"/>
        </w:rPr>
        <w:t>c</w:t>
      </w:r>
      <w:r w:rsidR="009D6688" w:rsidRPr="00682BD5">
        <w:rPr>
          <w:rFonts w:ascii="Garamond" w:hAnsi="Garamond"/>
          <w:sz w:val="23"/>
          <w:szCs w:val="23"/>
        </w:rPr>
        <w:t>)</w:t>
      </w:r>
      <w:r w:rsidRPr="00682BD5">
        <w:rPr>
          <w:rFonts w:ascii="Garamond" w:hAnsi="Garamond"/>
          <w:sz w:val="23"/>
          <w:szCs w:val="23"/>
        </w:rPr>
        <w:t xml:space="preserve"> la percentuale rappresentata da tali </w:t>
      </w:r>
      <w:r w:rsidR="00E41749" w:rsidRPr="00682BD5">
        <w:rPr>
          <w:rFonts w:ascii="Garamond" w:hAnsi="Garamond"/>
          <w:sz w:val="23"/>
          <w:szCs w:val="23"/>
        </w:rPr>
        <w:t xml:space="preserve">diritti di voto </w:t>
      </w:r>
      <w:r w:rsidRPr="00682BD5">
        <w:rPr>
          <w:rFonts w:ascii="Garamond" w:hAnsi="Garamond"/>
          <w:sz w:val="23"/>
          <w:szCs w:val="23"/>
        </w:rPr>
        <w:t>rispetto al totale de</w:t>
      </w:r>
      <w:r w:rsidR="00E41749" w:rsidRPr="00682BD5">
        <w:rPr>
          <w:rFonts w:ascii="Garamond" w:hAnsi="Garamond"/>
          <w:sz w:val="23"/>
          <w:szCs w:val="23"/>
        </w:rPr>
        <w:t>i</w:t>
      </w:r>
      <w:r w:rsidRPr="00682BD5">
        <w:rPr>
          <w:rFonts w:ascii="Garamond" w:hAnsi="Garamond"/>
          <w:sz w:val="23"/>
          <w:szCs w:val="23"/>
        </w:rPr>
        <w:t xml:space="preserve"> </w:t>
      </w:r>
      <w:r w:rsidR="00E41749" w:rsidRPr="00682BD5">
        <w:rPr>
          <w:rFonts w:ascii="Garamond" w:hAnsi="Garamond"/>
          <w:sz w:val="23"/>
          <w:szCs w:val="23"/>
        </w:rPr>
        <w:t>diritti di voto</w:t>
      </w:r>
      <w:r w:rsidRPr="00682BD5">
        <w:rPr>
          <w:rFonts w:ascii="Garamond" w:hAnsi="Garamond"/>
          <w:sz w:val="23"/>
          <w:szCs w:val="23"/>
        </w:rPr>
        <w:t xml:space="preserve"> rappresentativ</w:t>
      </w:r>
      <w:r w:rsidR="008B56FC" w:rsidRPr="00682BD5">
        <w:rPr>
          <w:rFonts w:ascii="Garamond" w:hAnsi="Garamond"/>
          <w:sz w:val="23"/>
          <w:szCs w:val="23"/>
        </w:rPr>
        <w:t>i</w:t>
      </w:r>
      <w:r w:rsidRPr="00682BD5">
        <w:rPr>
          <w:rFonts w:ascii="Garamond" w:hAnsi="Garamond"/>
          <w:sz w:val="23"/>
          <w:szCs w:val="23"/>
        </w:rPr>
        <w:t xml:space="preserve"> del capitale sociale</w:t>
      </w:r>
      <w:r w:rsidR="00E10D7E" w:rsidRPr="00682BD5">
        <w:rPr>
          <w:rFonts w:ascii="Garamond" w:hAnsi="Garamond"/>
          <w:sz w:val="23"/>
          <w:szCs w:val="23"/>
        </w:rPr>
        <w:t xml:space="preserve"> </w:t>
      </w:r>
      <w:r w:rsidR="00F82AD4">
        <w:rPr>
          <w:rFonts w:ascii="Garamond" w:hAnsi="Garamond"/>
          <w:sz w:val="23"/>
          <w:szCs w:val="23"/>
        </w:rPr>
        <w:t>dell’Emittente</w:t>
      </w:r>
      <w:r w:rsidR="009B0F34">
        <w:rPr>
          <w:rFonts w:ascii="Garamond" w:hAnsi="Garamond"/>
          <w:sz w:val="23"/>
          <w:szCs w:val="23"/>
        </w:rPr>
        <w:t xml:space="preserve"> </w:t>
      </w:r>
      <w:r w:rsidR="009B0F34">
        <w:rPr>
          <w:rFonts w:ascii="Garamond" w:hAnsi="Garamond"/>
          <w:i/>
          <w:sz w:val="23"/>
          <w:szCs w:val="23"/>
        </w:rPr>
        <w:t xml:space="preserve">post </w:t>
      </w:r>
      <w:r w:rsidR="009B0F34">
        <w:rPr>
          <w:rFonts w:ascii="Garamond" w:hAnsi="Garamond"/>
          <w:sz w:val="23"/>
          <w:szCs w:val="23"/>
        </w:rPr>
        <w:t>Fusione</w:t>
      </w:r>
      <w:r w:rsidR="009D6688" w:rsidRPr="00682BD5">
        <w:rPr>
          <w:rFonts w:ascii="Garamond" w:hAnsi="Garamond"/>
          <w:sz w:val="23"/>
          <w:szCs w:val="23"/>
        </w:rPr>
        <w:t>; (</w:t>
      </w:r>
      <w:r w:rsidR="00FC3841" w:rsidRPr="00682BD5">
        <w:rPr>
          <w:rFonts w:ascii="Garamond" w:hAnsi="Garamond"/>
          <w:sz w:val="23"/>
          <w:szCs w:val="23"/>
        </w:rPr>
        <w:t>d</w:t>
      </w:r>
      <w:r w:rsidR="009D6688" w:rsidRPr="00682BD5">
        <w:rPr>
          <w:rFonts w:ascii="Garamond" w:hAnsi="Garamond"/>
          <w:sz w:val="23"/>
          <w:szCs w:val="23"/>
        </w:rPr>
        <w:t>)</w:t>
      </w:r>
      <w:r w:rsidRPr="00682BD5">
        <w:rPr>
          <w:rFonts w:ascii="Garamond" w:hAnsi="Garamond"/>
          <w:sz w:val="23"/>
          <w:szCs w:val="23"/>
        </w:rPr>
        <w:t xml:space="preserve"> la percentuale </w:t>
      </w:r>
      <w:r w:rsidR="00F96346" w:rsidRPr="00682BD5">
        <w:rPr>
          <w:rFonts w:ascii="Garamond" w:hAnsi="Garamond"/>
          <w:sz w:val="23"/>
          <w:szCs w:val="23"/>
        </w:rPr>
        <w:t>rappresentata da</w:t>
      </w:r>
      <w:r w:rsidR="00FC3841" w:rsidRPr="00682BD5">
        <w:rPr>
          <w:rFonts w:ascii="Garamond" w:hAnsi="Garamond"/>
          <w:sz w:val="23"/>
          <w:szCs w:val="23"/>
        </w:rPr>
        <w:t>lle</w:t>
      </w:r>
      <w:r w:rsidR="00F96346" w:rsidRPr="00682BD5">
        <w:rPr>
          <w:rFonts w:ascii="Garamond" w:hAnsi="Garamond"/>
          <w:sz w:val="23"/>
          <w:szCs w:val="23"/>
        </w:rPr>
        <w:t xml:space="preserve"> azioni</w:t>
      </w:r>
      <w:r w:rsidR="00FC3841" w:rsidRPr="00682BD5">
        <w:rPr>
          <w:rFonts w:ascii="Garamond" w:hAnsi="Garamond"/>
          <w:sz w:val="23"/>
          <w:szCs w:val="23"/>
        </w:rPr>
        <w:t xml:space="preserve"> conferite</w:t>
      </w:r>
      <w:r w:rsidR="00F96346" w:rsidRPr="00682BD5">
        <w:rPr>
          <w:rFonts w:ascii="Garamond" w:hAnsi="Garamond"/>
          <w:sz w:val="23"/>
          <w:szCs w:val="23"/>
        </w:rPr>
        <w:t xml:space="preserve"> rispetto al totale delle azioni della medesima categoria</w:t>
      </w:r>
      <w:r w:rsidR="00E10D7E" w:rsidRPr="00682BD5">
        <w:rPr>
          <w:rFonts w:ascii="Garamond" w:hAnsi="Garamond"/>
          <w:sz w:val="23"/>
          <w:szCs w:val="23"/>
        </w:rPr>
        <w:t xml:space="preserve"> emesse </w:t>
      </w:r>
      <w:r w:rsidR="00E44DD9">
        <w:rPr>
          <w:rFonts w:ascii="Garamond" w:hAnsi="Garamond"/>
          <w:sz w:val="23"/>
          <w:szCs w:val="23"/>
        </w:rPr>
        <w:t>dall’Emittente</w:t>
      </w:r>
      <w:r w:rsidR="009B0F34">
        <w:rPr>
          <w:rFonts w:ascii="Garamond" w:hAnsi="Garamond"/>
          <w:sz w:val="23"/>
          <w:szCs w:val="23"/>
        </w:rPr>
        <w:t xml:space="preserve"> </w:t>
      </w:r>
      <w:r w:rsidR="009B0F34">
        <w:rPr>
          <w:rFonts w:ascii="Garamond" w:hAnsi="Garamond"/>
          <w:i/>
          <w:sz w:val="23"/>
          <w:szCs w:val="23"/>
        </w:rPr>
        <w:t xml:space="preserve">post </w:t>
      </w:r>
      <w:r w:rsidR="009B0F34">
        <w:rPr>
          <w:rFonts w:ascii="Garamond" w:hAnsi="Garamond"/>
          <w:sz w:val="23"/>
          <w:szCs w:val="23"/>
        </w:rPr>
        <w:t>Fusione</w:t>
      </w:r>
      <w:r w:rsidR="009D6688" w:rsidRPr="00682BD5">
        <w:rPr>
          <w:rFonts w:ascii="Garamond" w:hAnsi="Garamond"/>
          <w:sz w:val="23"/>
          <w:szCs w:val="23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C2045E" w:rsidRPr="00682BD5" w:rsidTr="00C2045E">
        <w:tc>
          <w:tcPr>
            <w:tcW w:w="1000" w:type="pct"/>
          </w:tcPr>
          <w:p w:rsidR="00C2045E" w:rsidRPr="00F00FCA" w:rsidRDefault="00C2045E" w:rsidP="00B41941">
            <w:pPr>
              <w:pStyle w:val="NormalWeb"/>
              <w:spacing w:before="120" w:beforeAutospacing="0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>Partecipante</w:t>
            </w:r>
          </w:p>
        </w:tc>
        <w:tc>
          <w:tcPr>
            <w:tcW w:w="1000" w:type="pct"/>
          </w:tcPr>
          <w:p w:rsidR="00C2045E" w:rsidRPr="00F00FCA" w:rsidRDefault="00C2045E" w:rsidP="00B41941">
            <w:pPr>
              <w:pStyle w:val="NormalWeb"/>
              <w:spacing w:before="120" w:beforeAutospacing="0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>(a) N. azioni conferite</w:t>
            </w:r>
          </w:p>
        </w:tc>
        <w:tc>
          <w:tcPr>
            <w:tcW w:w="1000" w:type="pct"/>
          </w:tcPr>
          <w:p w:rsidR="00C2045E" w:rsidRPr="00F00FCA" w:rsidRDefault="00C2045E" w:rsidP="00B41941">
            <w:pPr>
              <w:pStyle w:val="NormalWeb"/>
              <w:spacing w:before="120" w:beforeAutospacing="0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>(b) N. diritti di voto conferiti</w:t>
            </w:r>
          </w:p>
        </w:tc>
        <w:tc>
          <w:tcPr>
            <w:tcW w:w="1000" w:type="pct"/>
          </w:tcPr>
          <w:p w:rsidR="00C2045E" w:rsidRPr="00F00FCA" w:rsidRDefault="00C2045E" w:rsidP="00B41941">
            <w:pPr>
              <w:pStyle w:val="NormalWeb"/>
              <w:spacing w:before="120" w:beforeAutospacing="0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 xml:space="preserve">(c) % su totale diritti di voto </w:t>
            </w:r>
            <w:r>
              <w:rPr>
                <w:rFonts w:ascii="Garamond" w:hAnsi="Garamond"/>
                <w:b/>
                <w:smallCaps/>
                <w:sz w:val="20"/>
                <w:szCs w:val="20"/>
              </w:rPr>
              <w:t>rappresentati</w:t>
            </w:r>
            <w:r w:rsidR="00EF23AE">
              <w:rPr>
                <w:rFonts w:ascii="Garamond" w:hAnsi="Garamond"/>
                <w:b/>
                <w:smallCaps/>
                <w:sz w:val="20"/>
                <w:szCs w:val="20"/>
              </w:rPr>
              <w:t>vi</w:t>
            </w:r>
            <w:r>
              <w:rPr>
                <w:rFonts w:ascii="Garamond" w:hAnsi="Garamond"/>
                <w:b/>
                <w:smallCaps/>
                <w:sz w:val="20"/>
                <w:szCs w:val="20"/>
              </w:rPr>
              <w:t xml:space="preserve"> del capitale sociale</w:t>
            </w:r>
          </w:p>
        </w:tc>
        <w:tc>
          <w:tcPr>
            <w:tcW w:w="1000" w:type="pct"/>
          </w:tcPr>
          <w:p w:rsidR="00C2045E" w:rsidRPr="00F00FCA" w:rsidRDefault="00C2045E" w:rsidP="00587B24">
            <w:pPr>
              <w:pStyle w:val="NormalWeb"/>
              <w:spacing w:before="120" w:beforeAutospacing="0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>(</w:t>
            </w:r>
            <w:r w:rsidR="00587B24">
              <w:rPr>
                <w:rFonts w:ascii="Garamond" w:hAnsi="Garamond"/>
                <w:b/>
                <w:smallCaps/>
                <w:sz w:val="20"/>
                <w:szCs w:val="20"/>
              </w:rPr>
              <w:t>D</w:t>
            </w:r>
            <w:r w:rsidRPr="00F00FCA">
              <w:rPr>
                <w:rFonts w:ascii="Garamond" w:hAnsi="Garamond"/>
                <w:b/>
                <w:smallCaps/>
                <w:sz w:val="20"/>
                <w:szCs w:val="20"/>
              </w:rPr>
              <w:t>) % su totale azioni di categoria</w:t>
            </w:r>
          </w:p>
        </w:tc>
      </w:tr>
      <w:tr w:rsidR="00633FA9" w:rsidRPr="00682BD5" w:rsidTr="00C2045E">
        <w:trPr>
          <w:trHeight w:val="416"/>
        </w:trPr>
        <w:tc>
          <w:tcPr>
            <w:tcW w:w="1000" w:type="pct"/>
          </w:tcPr>
          <w:p w:rsidR="00633FA9" w:rsidRPr="00682BD5" w:rsidRDefault="00633FA9" w:rsidP="00D55208">
            <w:pPr>
              <w:pStyle w:val="NormalWeb"/>
              <w:spacing w:before="120" w:beforeAutospacing="0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 xml:space="preserve">Leonardo S.p.A. </w:t>
            </w:r>
          </w:p>
        </w:tc>
        <w:tc>
          <w:tcPr>
            <w:tcW w:w="1000" w:type="pct"/>
          </w:tcPr>
          <w:p w:rsidR="00633FA9" w:rsidRPr="00682BD5" w:rsidRDefault="001F0835" w:rsidP="00633FA9">
            <w:pPr>
              <w:pStyle w:val="NormalWeb"/>
              <w:spacing w:before="120" w:beforeAutospacing="0"/>
              <w:jc w:val="both"/>
              <w:rPr>
                <w:rFonts w:ascii="Garamond" w:hAnsi="Garamond"/>
                <w:sz w:val="23"/>
                <w:szCs w:val="23"/>
              </w:rPr>
            </w:pPr>
            <w:r w:rsidRPr="001F0835">
              <w:rPr>
                <w:rFonts w:ascii="Garamond" w:hAnsi="Garamond"/>
                <w:bCs/>
                <w:sz w:val="23"/>
                <w:szCs w:val="23"/>
              </w:rPr>
              <w:t>6.627.604</w:t>
            </w:r>
          </w:p>
        </w:tc>
        <w:tc>
          <w:tcPr>
            <w:tcW w:w="1000" w:type="pct"/>
          </w:tcPr>
          <w:p w:rsidR="00633FA9" w:rsidRPr="00682BD5" w:rsidRDefault="001F0835" w:rsidP="00C2045E">
            <w:pPr>
              <w:pStyle w:val="NormalWeb"/>
              <w:spacing w:before="120" w:beforeAutospacing="0"/>
              <w:jc w:val="both"/>
              <w:rPr>
                <w:rFonts w:ascii="Garamond" w:hAnsi="Garamond"/>
                <w:sz w:val="23"/>
                <w:szCs w:val="23"/>
              </w:rPr>
            </w:pPr>
            <w:r w:rsidRPr="001F0835">
              <w:rPr>
                <w:rFonts w:ascii="Garamond" w:hAnsi="Garamond"/>
                <w:bCs/>
                <w:sz w:val="23"/>
                <w:szCs w:val="23"/>
              </w:rPr>
              <w:t>6.627.604</w:t>
            </w:r>
          </w:p>
        </w:tc>
        <w:tc>
          <w:tcPr>
            <w:tcW w:w="1000" w:type="pct"/>
          </w:tcPr>
          <w:p w:rsidR="00633FA9" w:rsidRPr="00682BD5" w:rsidRDefault="00633FA9" w:rsidP="007F3C54">
            <w:pPr>
              <w:pStyle w:val="NormalWeb"/>
              <w:spacing w:before="120" w:beforeAutospacing="0"/>
              <w:jc w:val="both"/>
              <w:rPr>
                <w:rFonts w:ascii="Garamond" w:hAnsi="Garamond"/>
                <w:sz w:val="23"/>
                <w:szCs w:val="23"/>
              </w:rPr>
            </w:pPr>
            <w:r w:rsidRPr="00633FA9">
              <w:rPr>
                <w:rFonts w:ascii="Garamond" w:hAnsi="Garamond"/>
                <w:sz w:val="23"/>
                <w:szCs w:val="23"/>
              </w:rPr>
              <w:t>28,</w:t>
            </w:r>
            <w:r w:rsidR="007F3C54">
              <w:rPr>
                <w:rFonts w:ascii="Garamond" w:hAnsi="Garamond"/>
                <w:sz w:val="23"/>
                <w:szCs w:val="23"/>
              </w:rPr>
              <w:t>29%</w:t>
            </w:r>
            <w:r w:rsidR="002C1F60">
              <w:rPr>
                <w:rFonts w:ascii="Garamond" w:hAnsi="Garamond"/>
                <w:sz w:val="23"/>
                <w:szCs w:val="23"/>
              </w:rPr>
              <w:t xml:space="preserve"> </w:t>
            </w:r>
          </w:p>
        </w:tc>
        <w:tc>
          <w:tcPr>
            <w:tcW w:w="1000" w:type="pct"/>
          </w:tcPr>
          <w:p w:rsidR="00633FA9" w:rsidRPr="00682BD5" w:rsidRDefault="007F3C54" w:rsidP="00262C13">
            <w:pPr>
              <w:pStyle w:val="NormalWeb"/>
              <w:spacing w:before="120" w:beforeAutospacing="0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28,29%</w:t>
            </w:r>
            <w:r w:rsidR="002C1F60">
              <w:rPr>
                <w:rFonts w:ascii="Garamond" w:hAnsi="Garamond"/>
                <w:sz w:val="23"/>
                <w:szCs w:val="23"/>
              </w:rPr>
              <w:t xml:space="preserve"> </w:t>
            </w:r>
          </w:p>
        </w:tc>
      </w:tr>
    </w:tbl>
    <w:p w:rsidR="00286FA6" w:rsidRPr="00682BD5" w:rsidRDefault="00F2241F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Style w:val="Strong"/>
          <w:rFonts w:ascii="Garamond" w:hAnsi="Garamond"/>
          <w:sz w:val="23"/>
          <w:szCs w:val="23"/>
        </w:rPr>
        <w:t>5</w:t>
      </w:r>
      <w:r w:rsidR="00286FA6" w:rsidRPr="00682BD5">
        <w:rPr>
          <w:rStyle w:val="Strong"/>
          <w:rFonts w:ascii="Garamond" w:hAnsi="Garamond"/>
          <w:sz w:val="23"/>
          <w:szCs w:val="23"/>
        </w:rPr>
        <w:t xml:space="preserve">. </w:t>
      </w:r>
      <w:r w:rsidR="00286FA6" w:rsidRPr="00682BD5">
        <w:rPr>
          <w:rStyle w:val="Strong"/>
          <w:rFonts w:ascii="Garamond" w:hAnsi="Garamond"/>
          <w:sz w:val="23"/>
          <w:szCs w:val="23"/>
          <w:u w:val="single"/>
        </w:rPr>
        <w:t>Controllo</w:t>
      </w:r>
      <w:r w:rsidR="00286FA6" w:rsidRPr="00682BD5">
        <w:rPr>
          <w:rFonts w:ascii="Garamond" w:hAnsi="Garamond"/>
          <w:sz w:val="23"/>
          <w:szCs w:val="23"/>
        </w:rPr>
        <w:t xml:space="preserve"> </w:t>
      </w:r>
    </w:p>
    <w:p w:rsidR="003F1B5C" w:rsidRPr="00682BD5" w:rsidRDefault="0018582A" w:rsidP="00415150">
      <w:pPr>
        <w:pStyle w:val="TOC1"/>
        <w:rPr>
          <w:noProof w:val="0"/>
          <w:color w:val="000000"/>
          <w:sz w:val="23"/>
          <w:szCs w:val="23"/>
        </w:rPr>
      </w:pPr>
      <w:r w:rsidRPr="00682BD5">
        <w:rPr>
          <w:noProof w:val="0"/>
          <w:color w:val="000000"/>
          <w:sz w:val="23"/>
          <w:szCs w:val="23"/>
        </w:rPr>
        <w:t xml:space="preserve">Alla </w:t>
      </w:r>
      <w:r w:rsidR="00DE2CD6">
        <w:rPr>
          <w:noProof w:val="0"/>
          <w:color w:val="000000"/>
          <w:sz w:val="23"/>
          <w:szCs w:val="23"/>
        </w:rPr>
        <w:t>Data di Efficacia della Fusione</w:t>
      </w:r>
      <w:r w:rsidR="00212614">
        <w:rPr>
          <w:noProof w:val="0"/>
          <w:color w:val="000000"/>
          <w:sz w:val="23"/>
          <w:szCs w:val="23"/>
        </w:rPr>
        <w:t xml:space="preserve"> </w:t>
      </w:r>
      <w:r w:rsidR="00F82AD4">
        <w:rPr>
          <w:noProof w:val="0"/>
          <w:color w:val="000000"/>
          <w:sz w:val="23"/>
          <w:szCs w:val="23"/>
        </w:rPr>
        <w:t>l’Emittente</w:t>
      </w:r>
      <w:r w:rsidR="004A5CA2">
        <w:rPr>
          <w:noProof w:val="0"/>
          <w:color w:val="000000"/>
          <w:sz w:val="23"/>
          <w:szCs w:val="23"/>
        </w:rPr>
        <w:t xml:space="preserve"> non </w:t>
      </w:r>
      <w:r w:rsidR="00D621D7" w:rsidRPr="00682BD5">
        <w:rPr>
          <w:noProof w:val="0"/>
          <w:color w:val="000000"/>
          <w:sz w:val="23"/>
          <w:szCs w:val="23"/>
        </w:rPr>
        <w:t>sarà controllat</w:t>
      </w:r>
      <w:r w:rsidR="00F82AD4">
        <w:rPr>
          <w:noProof w:val="0"/>
          <w:color w:val="000000"/>
          <w:sz w:val="23"/>
          <w:szCs w:val="23"/>
        </w:rPr>
        <w:t>o</w:t>
      </w:r>
      <w:r w:rsidR="004A5CA2">
        <w:rPr>
          <w:noProof w:val="0"/>
          <w:color w:val="000000"/>
          <w:sz w:val="23"/>
          <w:szCs w:val="23"/>
        </w:rPr>
        <w:t xml:space="preserve"> da alcun soggetto</w:t>
      </w:r>
      <w:r w:rsidR="007F3C54">
        <w:rPr>
          <w:noProof w:val="0"/>
          <w:color w:val="000000"/>
          <w:sz w:val="23"/>
          <w:szCs w:val="23"/>
        </w:rPr>
        <w:t xml:space="preserve"> ai sensi dell’art. 93 del TUF</w:t>
      </w:r>
      <w:r w:rsidR="00212614">
        <w:rPr>
          <w:noProof w:val="0"/>
          <w:color w:val="000000"/>
          <w:sz w:val="23"/>
          <w:szCs w:val="23"/>
        </w:rPr>
        <w:t>.</w:t>
      </w:r>
    </w:p>
    <w:p w:rsidR="00286FA6" w:rsidRPr="00682BD5" w:rsidRDefault="00F2241F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Style w:val="Strong"/>
          <w:rFonts w:ascii="Garamond" w:hAnsi="Garamond"/>
          <w:sz w:val="23"/>
          <w:szCs w:val="23"/>
        </w:rPr>
        <w:t>6</w:t>
      </w:r>
      <w:r w:rsidR="00286FA6" w:rsidRPr="00682BD5">
        <w:rPr>
          <w:rStyle w:val="Strong"/>
          <w:rFonts w:ascii="Garamond" w:hAnsi="Garamond"/>
          <w:sz w:val="23"/>
          <w:szCs w:val="23"/>
        </w:rPr>
        <w:t xml:space="preserve">. </w:t>
      </w:r>
      <w:r w:rsidR="00EE7F42" w:rsidRPr="00682BD5">
        <w:rPr>
          <w:rStyle w:val="Strong"/>
          <w:rFonts w:ascii="Garamond" w:hAnsi="Garamond"/>
          <w:sz w:val="23"/>
          <w:szCs w:val="23"/>
          <w:u w:val="single"/>
        </w:rPr>
        <w:t>C</w:t>
      </w:r>
      <w:r w:rsidR="00286FA6" w:rsidRPr="00682BD5">
        <w:rPr>
          <w:rStyle w:val="Strong"/>
          <w:rFonts w:ascii="Garamond" w:hAnsi="Garamond"/>
          <w:sz w:val="23"/>
          <w:szCs w:val="23"/>
          <w:u w:val="single"/>
        </w:rPr>
        <w:t xml:space="preserve">ontenuto del </w:t>
      </w:r>
      <w:r w:rsidR="007F3C54">
        <w:rPr>
          <w:rStyle w:val="Strong"/>
          <w:rFonts w:ascii="Garamond" w:hAnsi="Garamond"/>
          <w:sz w:val="23"/>
          <w:szCs w:val="23"/>
          <w:u w:val="single"/>
        </w:rPr>
        <w:t>Patto Parasociale</w:t>
      </w:r>
    </w:p>
    <w:p w:rsidR="00286FA6" w:rsidRPr="00763931" w:rsidRDefault="00286FA6" w:rsidP="00763931">
      <w:pPr>
        <w:pStyle w:val="TOC1"/>
        <w:rPr>
          <w:noProof w:val="0"/>
          <w:color w:val="000000"/>
          <w:sz w:val="23"/>
          <w:szCs w:val="23"/>
        </w:rPr>
      </w:pPr>
      <w:r w:rsidRPr="00682BD5">
        <w:rPr>
          <w:b/>
          <w:bCs/>
          <w:i/>
          <w:iCs/>
          <w:sz w:val="23"/>
          <w:szCs w:val="23"/>
        </w:rPr>
        <w:lastRenderedPageBreak/>
        <w:t>(</w:t>
      </w:r>
      <w:r w:rsidR="00350D3F" w:rsidRPr="00682BD5">
        <w:rPr>
          <w:b/>
          <w:bCs/>
          <w:i/>
          <w:iCs/>
          <w:sz w:val="23"/>
          <w:szCs w:val="23"/>
        </w:rPr>
        <w:t>a</w:t>
      </w:r>
      <w:r w:rsidRPr="00682BD5">
        <w:rPr>
          <w:b/>
          <w:bCs/>
          <w:i/>
          <w:iCs/>
          <w:sz w:val="23"/>
          <w:szCs w:val="23"/>
        </w:rPr>
        <w:t xml:space="preserve">) </w:t>
      </w:r>
      <w:r w:rsidR="00796D7F" w:rsidRPr="00682BD5">
        <w:rPr>
          <w:b/>
          <w:bCs/>
          <w:i/>
          <w:iCs/>
          <w:sz w:val="23"/>
          <w:szCs w:val="23"/>
        </w:rPr>
        <w:t>Impegni relativi al</w:t>
      </w:r>
      <w:r w:rsidR="00350D3F" w:rsidRPr="00682BD5">
        <w:rPr>
          <w:b/>
          <w:bCs/>
          <w:i/>
          <w:iCs/>
          <w:sz w:val="23"/>
          <w:szCs w:val="23"/>
        </w:rPr>
        <w:t>la</w:t>
      </w:r>
      <w:r w:rsidR="00763931">
        <w:rPr>
          <w:b/>
          <w:bCs/>
          <w:i/>
          <w:iCs/>
          <w:sz w:val="23"/>
          <w:szCs w:val="23"/>
        </w:rPr>
        <w:t xml:space="preserve"> costituzione dei comitati interni al Consiglio di Amministrazione </w:t>
      </w:r>
      <w:r w:rsidR="00F82AD4">
        <w:rPr>
          <w:b/>
          <w:bCs/>
          <w:i/>
          <w:iCs/>
          <w:sz w:val="23"/>
          <w:szCs w:val="23"/>
        </w:rPr>
        <w:t>dell’Emittente</w:t>
      </w:r>
      <w:r w:rsidR="00763931">
        <w:rPr>
          <w:b/>
          <w:bCs/>
          <w:i/>
          <w:iCs/>
          <w:sz w:val="23"/>
          <w:szCs w:val="23"/>
        </w:rPr>
        <w:t xml:space="preserve"> </w:t>
      </w:r>
      <w:r w:rsidR="00763931">
        <w:rPr>
          <w:b/>
          <w:bCs/>
          <w:iCs/>
          <w:sz w:val="23"/>
          <w:szCs w:val="23"/>
        </w:rPr>
        <w:t xml:space="preserve">post </w:t>
      </w:r>
      <w:r w:rsidR="00763931" w:rsidRPr="00763931">
        <w:rPr>
          <w:b/>
          <w:bCs/>
          <w:i/>
          <w:iCs/>
          <w:sz w:val="23"/>
          <w:szCs w:val="23"/>
        </w:rPr>
        <w:t>Fusione</w:t>
      </w:r>
      <w:r w:rsidR="00350D3F" w:rsidRPr="00682BD5">
        <w:rPr>
          <w:b/>
          <w:bCs/>
          <w:i/>
          <w:iCs/>
          <w:sz w:val="23"/>
          <w:szCs w:val="23"/>
        </w:rPr>
        <w:t xml:space="preserve"> </w:t>
      </w:r>
    </w:p>
    <w:p w:rsidR="00763931" w:rsidRPr="00763931" w:rsidRDefault="00763931" w:rsidP="008F060B">
      <w:pPr>
        <w:pStyle w:val="NormalWeb"/>
        <w:jc w:val="both"/>
        <w:rPr>
          <w:sz w:val="23"/>
          <w:szCs w:val="23"/>
        </w:rPr>
      </w:pPr>
      <w:r w:rsidRPr="008F060B">
        <w:rPr>
          <w:rFonts w:ascii="Garamond" w:hAnsi="Garamond"/>
          <w:sz w:val="23"/>
          <w:szCs w:val="23"/>
        </w:rPr>
        <w:t>Il</w:t>
      </w:r>
      <w:r>
        <w:rPr>
          <w:sz w:val="23"/>
          <w:szCs w:val="23"/>
        </w:rPr>
        <w:t xml:space="preserve"> </w:t>
      </w:r>
      <w:r w:rsidR="007F3C54">
        <w:rPr>
          <w:rFonts w:ascii="Garamond" w:hAnsi="Garamond"/>
          <w:sz w:val="23"/>
          <w:szCs w:val="23"/>
        </w:rPr>
        <w:t>Patto Parasociale</w:t>
      </w:r>
      <w:r w:rsidRPr="008F060B">
        <w:rPr>
          <w:rFonts w:ascii="Garamond" w:hAnsi="Garamond"/>
          <w:sz w:val="23"/>
          <w:szCs w:val="23"/>
        </w:rPr>
        <w:t xml:space="preserve"> contiene disposizioni volte a definire la </w:t>
      </w:r>
      <w:r w:rsidR="007F3C54">
        <w:rPr>
          <w:rFonts w:ascii="Garamond" w:hAnsi="Garamond"/>
          <w:sz w:val="23"/>
          <w:szCs w:val="23"/>
        </w:rPr>
        <w:t>composizione</w:t>
      </w:r>
      <w:r w:rsidRPr="008F060B">
        <w:rPr>
          <w:rFonts w:ascii="Garamond" w:hAnsi="Garamond"/>
          <w:sz w:val="23"/>
          <w:szCs w:val="23"/>
        </w:rPr>
        <w:t xml:space="preserve"> d</w:t>
      </w:r>
      <w:r w:rsidR="007F3C54">
        <w:rPr>
          <w:rFonts w:ascii="Garamond" w:hAnsi="Garamond"/>
          <w:sz w:val="23"/>
          <w:szCs w:val="23"/>
        </w:rPr>
        <w:t>e</w:t>
      </w:r>
      <w:r w:rsidRPr="008F060B">
        <w:rPr>
          <w:rFonts w:ascii="Garamond" w:hAnsi="Garamond"/>
          <w:sz w:val="23"/>
          <w:szCs w:val="23"/>
        </w:rPr>
        <w:t xml:space="preserve">i comitati interni al Consiglio di Amministrazione </w:t>
      </w:r>
      <w:r w:rsidR="00F82AD4">
        <w:rPr>
          <w:rFonts w:ascii="Garamond" w:hAnsi="Garamond"/>
          <w:sz w:val="23"/>
          <w:szCs w:val="23"/>
        </w:rPr>
        <w:t>dell’Emittente</w:t>
      </w:r>
      <w:r w:rsidRPr="008F060B">
        <w:rPr>
          <w:rFonts w:ascii="Garamond" w:hAnsi="Garamond"/>
          <w:sz w:val="23"/>
          <w:szCs w:val="23"/>
        </w:rPr>
        <w:t xml:space="preserve"> </w:t>
      </w:r>
      <w:r w:rsidRPr="008F060B">
        <w:rPr>
          <w:rFonts w:ascii="Garamond" w:hAnsi="Garamond"/>
          <w:i/>
          <w:sz w:val="23"/>
          <w:szCs w:val="23"/>
        </w:rPr>
        <w:t>post</w:t>
      </w:r>
      <w:r w:rsidRPr="008F060B">
        <w:rPr>
          <w:rFonts w:ascii="Garamond" w:hAnsi="Garamond"/>
          <w:sz w:val="23"/>
          <w:szCs w:val="23"/>
        </w:rPr>
        <w:t xml:space="preserve"> Fusione</w:t>
      </w:r>
      <w:r w:rsidR="007F3C54">
        <w:rPr>
          <w:rFonts w:ascii="Garamond" w:hAnsi="Garamond"/>
          <w:sz w:val="23"/>
          <w:szCs w:val="23"/>
        </w:rPr>
        <w:t xml:space="preserve">, così come costituiti dal Consiglio di Amministrazione </w:t>
      </w:r>
      <w:r w:rsidR="00F82AD4">
        <w:rPr>
          <w:rFonts w:ascii="Garamond" w:hAnsi="Garamond"/>
          <w:sz w:val="23"/>
          <w:szCs w:val="23"/>
        </w:rPr>
        <w:t xml:space="preserve">dell’Emittente </w:t>
      </w:r>
      <w:r w:rsidR="007F3C54">
        <w:rPr>
          <w:rFonts w:ascii="Garamond" w:hAnsi="Garamond"/>
          <w:sz w:val="23"/>
          <w:szCs w:val="23"/>
        </w:rPr>
        <w:t>nella riunione del 19 gennaio 2017</w:t>
      </w:r>
      <w:r w:rsidRPr="008F060B">
        <w:rPr>
          <w:rFonts w:ascii="Garamond" w:hAnsi="Garamond"/>
          <w:sz w:val="23"/>
          <w:szCs w:val="23"/>
        </w:rPr>
        <w:t xml:space="preserve">. In particolare, all’interno del Consiglio di Amministrazione </w:t>
      </w:r>
      <w:r w:rsidR="000E32A1">
        <w:rPr>
          <w:rFonts w:ascii="Garamond" w:hAnsi="Garamond"/>
          <w:sz w:val="23"/>
          <w:szCs w:val="23"/>
        </w:rPr>
        <w:t>sono stati</w:t>
      </w:r>
      <w:r w:rsidRPr="008F060B">
        <w:rPr>
          <w:rFonts w:ascii="Garamond" w:hAnsi="Garamond"/>
          <w:sz w:val="23"/>
          <w:szCs w:val="23"/>
        </w:rPr>
        <w:t xml:space="preserve"> istituiti i seguenti comitati interni</w:t>
      </w:r>
      <w:r w:rsidR="000D4F4A" w:rsidRPr="008F060B">
        <w:rPr>
          <w:rFonts w:ascii="Garamond" w:hAnsi="Garamond"/>
          <w:sz w:val="23"/>
          <w:szCs w:val="23"/>
        </w:rPr>
        <w:t xml:space="preserve"> che svolgeranno funzioni consultive rispetto all’attività del Consiglio di Amministrazione</w:t>
      </w:r>
      <w:r w:rsidR="00A95A23" w:rsidRPr="008F060B">
        <w:rPr>
          <w:rFonts w:ascii="Garamond" w:hAnsi="Garamond"/>
          <w:sz w:val="23"/>
          <w:szCs w:val="23"/>
        </w:rPr>
        <w:t xml:space="preserve"> e saranno composti in maggioranza da membri indipendenti tra cui sarà selezionato il Presidente</w:t>
      </w:r>
      <w:r w:rsidRPr="008F060B">
        <w:rPr>
          <w:rFonts w:ascii="Garamond" w:hAnsi="Garamond"/>
          <w:sz w:val="23"/>
          <w:szCs w:val="23"/>
        </w:rPr>
        <w:t>:</w:t>
      </w:r>
    </w:p>
    <w:p w:rsidR="00763931" w:rsidRPr="00763931" w:rsidRDefault="00763931" w:rsidP="00763931">
      <w:pPr>
        <w:pStyle w:val="TOC1"/>
        <w:numPr>
          <w:ilvl w:val="0"/>
          <w:numId w:val="29"/>
        </w:numPr>
        <w:rPr>
          <w:noProof w:val="0"/>
          <w:color w:val="000000"/>
          <w:sz w:val="23"/>
          <w:szCs w:val="23"/>
        </w:rPr>
      </w:pPr>
      <w:r w:rsidRPr="00763931">
        <w:rPr>
          <w:noProof w:val="0"/>
          <w:color w:val="000000"/>
          <w:sz w:val="23"/>
          <w:szCs w:val="23"/>
        </w:rPr>
        <w:t>il Comitato Nomine e</w:t>
      </w:r>
      <w:r w:rsidR="000D4F4A">
        <w:rPr>
          <w:noProof w:val="0"/>
          <w:color w:val="000000"/>
          <w:sz w:val="23"/>
          <w:szCs w:val="23"/>
        </w:rPr>
        <w:t xml:space="preserve"> Compensi</w:t>
      </w:r>
      <w:r w:rsidRPr="00763931">
        <w:rPr>
          <w:noProof w:val="0"/>
          <w:color w:val="000000"/>
          <w:sz w:val="23"/>
          <w:szCs w:val="23"/>
        </w:rPr>
        <w:t xml:space="preserve">, che svolgerà funzioni </w:t>
      </w:r>
      <w:r w:rsidR="00A95A23">
        <w:rPr>
          <w:noProof w:val="0"/>
          <w:color w:val="000000"/>
          <w:sz w:val="23"/>
          <w:szCs w:val="23"/>
        </w:rPr>
        <w:t xml:space="preserve">consultive </w:t>
      </w:r>
      <w:r w:rsidR="000D4F4A">
        <w:rPr>
          <w:noProof w:val="0"/>
          <w:color w:val="000000"/>
          <w:sz w:val="23"/>
          <w:szCs w:val="23"/>
        </w:rPr>
        <w:t xml:space="preserve">relative </w:t>
      </w:r>
      <w:r w:rsidRPr="00763931">
        <w:rPr>
          <w:noProof w:val="0"/>
          <w:color w:val="000000"/>
          <w:sz w:val="23"/>
          <w:szCs w:val="23"/>
        </w:rPr>
        <w:t xml:space="preserve">alla nomina dei </w:t>
      </w:r>
      <w:r w:rsidRPr="00A95A23">
        <w:rPr>
          <w:i/>
          <w:noProof w:val="0"/>
          <w:color w:val="000000"/>
          <w:sz w:val="23"/>
          <w:szCs w:val="23"/>
        </w:rPr>
        <w:t>top managers</w:t>
      </w:r>
      <w:r w:rsidRPr="00763931">
        <w:rPr>
          <w:noProof w:val="0"/>
          <w:color w:val="000000"/>
          <w:sz w:val="23"/>
          <w:szCs w:val="23"/>
        </w:rPr>
        <w:t xml:space="preserve"> di Space2 </w:t>
      </w:r>
      <w:r w:rsidRPr="00346351">
        <w:rPr>
          <w:i/>
          <w:noProof w:val="0"/>
          <w:color w:val="000000"/>
          <w:sz w:val="23"/>
          <w:szCs w:val="23"/>
        </w:rPr>
        <w:t>post</w:t>
      </w:r>
      <w:r w:rsidRPr="00763931">
        <w:rPr>
          <w:noProof w:val="0"/>
          <w:color w:val="000000"/>
          <w:sz w:val="23"/>
          <w:szCs w:val="23"/>
        </w:rPr>
        <w:t xml:space="preserve"> Fusione - ivi inclusi il Presidente del Consiglio di Amministrazione e l’amministratore delegato - e che sarà composto da 3 membri, di cui 1 di nomina di L</w:t>
      </w:r>
      <w:r w:rsidR="00B53FFF">
        <w:rPr>
          <w:noProof w:val="0"/>
          <w:color w:val="000000"/>
          <w:sz w:val="23"/>
          <w:szCs w:val="23"/>
        </w:rPr>
        <w:t>eonardo</w:t>
      </w:r>
      <w:r w:rsidRPr="00763931">
        <w:rPr>
          <w:noProof w:val="0"/>
          <w:color w:val="000000"/>
          <w:sz w:val="23"/>
          <w:szCs w:val="23"/>
        </w:rPr>
        <w:t xml:space="preserve"> e 2 - di cui uno svolgerà il ruolo di presidente - saranno amministratori indipendenti di designazione di S</w:t>
      </w:r>
      <w:r w:rsidR="00B53FFF">
        <w:rPr>
          <w:noProof w:val="0"/>
          <w:color w:val="000000"/>
          <w:sz w:val="23"/>
          <w:szCs w:val="23"/>
        </w:rPr>
        <w:t>pace2;</w:t>
      </w:r>
    </w:p>
    <w:p w:rsidR="00763931" w:rsidRPr="00763931" w:rsidRDefault="00763931" w:rsidP="00763931">
      <w:pPr>
        <w:pStyle w:val="TOC1"/>
        <w:numPr>
          <w:ilvl w:val="0"/>
          <w:numId w:val="29"/>
        </w:numPr>
        <w:rPr>
          <w:noProof w:val="0"/>
          <w:color w:val="000000"/>
          <w:sz w:val="23"/>
          <w:szCs w:val="23"/>
        </w:rPr>
      </w:pPr>
      <w:r w:rsidRPr="00763931">
        <w:rPr>
          <w:noProof w:val="0"/>
          <w:color w:val="000000"/>
          <w:sz w:val="23"/>
          <w:szCs w:val="23"/>
        </w:rPr>
        <w:t xml:space="preserve">il Comitato di Controllo e Rischi, il cui presidente sarà designato da </w:t>
      </w:r>
      <w:r w:rsidR="00B53FFF" w:rsidRPr="00763931">
        <w:rPr>
          <w:noProof w:val="0"/>
          <w:color w:val="000000"/>
          <w:sz w:val="23"/>
          <w:szCs w:val="23"/>
        </w:rPr>
        <w:t>L</w:t>
      </w:r>
      <w:r w:rsidR="00B53FFF">
        <w:rPr>
          <w:noProof w:val="0"/>
          <w:color w:val="000000"/>
          <w:sz w:val="23"/>
          <w:szCs w:val="23"/>
        </w:rPr>
        <w:t>eonardo</w:t>
      </w:r>
      <w:r w:rsidRPr="00763931">
        <w:rPr>
          <w:noProof w:val="0"/>
          <w:color w:val="000000"/>
          <w:sz w:val="23"/>
          <w:szCs w:val="23"/>
        </w:rPr>
        <w:t>;</w:t>
      </w:r>
    </w:p>
    <w:p w:rsidR="00763931" w:rsidRPr="00763931" w:rsidRDefault="00763931" w:rsidP="00763931">
      <w:pPr>
        <w:pStyle w:val="TOC1"/>
        <w:numPr>
          <w:ilvl w:val="0"/>
          <w:numId w:val="29"/>
        </w:numPr>
        <w:rPr>
          <w:noProof w:val="0"/>
          <w:color w:val="000000"/>
          <w:sz w:val="23"/>
          <w:szCs w:val="23"/>
        </w:rPr>
      </w:pPr>
      <w:r w:rsidRPr="00763931">
        <w:rPr>
          <w:noProof w:val="0"/>
          <w:color w:val="000000"/>
          <w:sz w:val="23"/>
          <w:szCs w:val="23"/>
        </w:rPr>
        <w:t>il Comitato Parti Correlate</w:t>
      </w:r>
      <w:r w:rsidR="000E32A1" w:rsidRPr="000E32A1">
        <w:rPr>
          <w:noProof w:val="0"/>
          <w:color w:val="000000"/>
          <w:sz w:val="23"/>
          <w:szCs w:val="23"/>
        </w:rPr>
        <w:t xml:space="preserve">, il cui presidente sarà </w:t>
      </w:r>
      <w:r w:rsidR="000E32A1">
        <w:rPr>
          <w:noProof w:val="0"/>
          <w:color w:val="000000"/>
          <w:sz w:val="23"/>
          <w:szCs w:val="23"/>
        </w:rPr>
        <w:t>un amministratore ind</w:t>
      </w:r>
      <w:r w:rsidR="00FB346E">
        <w:rPr>
          <w:noProof w:val="0"/>
          <w:color w:val="000000"/>
          <w:sz w:val="23"/>
          <w:szCs w:val="23"/>
        </w:rPr>
        <w:t>i</w:t>
      </w:r>
      <w:r w:rsidR="000E32A1">
        <w:rPr>
          <w:noProof w:val="0"/>
          <w:color w:val="000000"/>
          <w:sz w:val="23"/>
          <w:szCs w:val="23"/>
        </w:rPr>
        <w:t>pendente</w:t>
      </w:r>
      <w:r w:rsidRPr="00763931">
        <w:rPr>
          <w:noProof w:val="0"/>
          <w:color w:val="000000"/>
          <w:sz w:val="23"/>
          <w:szCs w:val="23"/>
        </w:rPr>
        <w:t>;</w:t>
      </w:r>
    </w:p>
    <w:p w:rsidR="00763931" w:rsidRPr="00763931" w:rsidRDefault="00763931" w:rsidP="00763931">
      <w:pPr>
        <w:pStyle w:val="TOC1"/>
        <w:numPr>
          <w:ilvl w:val="0"/>
          <w:numId w:val="29"/>
        </w:numPr>
        <w:rPr>
          <w:noProof w:val="0"/>
          <w:color w:val="000000"/>
          <w:sz w:val="23"/>
          <w:szCs w:val="23"/>
        </w:rPr>
      </w:pPr>
      <w:r w:rsidRPr="00763931">
        <w:rPr>
          <w:noProof w:val="0"/>
          <w:color w:val="000000"/>
          <w:sz w:val="23"/>
          <w:szCs w:val="23"/>
        </w:rPr>
        <w:t>il Comitato Investimenti, che dovrà riunirsi su base almeno trimestrale anche al fine di procedere alla c.d. “</w:t>
      </w:r>
      <w:r w:rsidRPr="00A25879">
        <w:rPr>
          <w:i/>
          <w:noProof w:val="0"/>
          <w:color w:val="000000"/>
          <w:sz w:val="23"/>
          <w:szCs w:val="23"/>
        </w:rPr>
        <w:t>business review</w:t>
      </w:r>
      <w:r w:rsidRPr="00763931">
        <w:rPr>
          <w:noProof w:val="0"/>
          <w:color w:val="000000"/>
          <w:sz w:val="23"/>
          <w:szCs w:val="23"/>
        </w:rPr>
        <w:t xml:space="preserve">” e avrà un ruolo consultivo in relazione (i) al </w:t>
      </w:r>
      <w:r w:rsidRPr="00A25879">
        <w:rPr>
          <w:i/>
          <w:noProof w:val="0"/>
          <w:color w:val="000000"/>
          <w:sz w:val="23"/>
          <w:szCs w:val="23"/>
        </w:rPr>
        <w:t>budget</w:t>
      </w:r>
      <w:r w:rsidRPr="00763931">
        <w:rPr>
          <w:noProof w:val="0"/>
          <w:color w:val="000000"/>
          <w:sz w:val="23"/>
          <w:szCs w:val="23"/>
        </w:rPr>
        <w:t xml:space="preserve">, (ii) al </w:t>
      </w:r>
      <w:r w:rsidRPr="00A25879">
        <w:rPr>
          <w:i/>
          <w:noProof w:val="0"/>
          <w:color w:val="000000"/>
          <w:sz w:val="23"/>
          <w:szCs w:val="23"/>
        </w:rPr>
        <w:t>business plan</w:t>
      </w:r>
      <w:r w:rsidRPr="00763931">
        <w:rPr>
          <w:noProof w:val="0"/>
          <w:color w:val="000000"/>
          <w:sz w:val="23"/>
          <w:szCs w:val="23"/>
        </w:rPr>
        <w:t xml:space="preserve"> e (iii) agli investimenti di particolare rilievo e di natura straordinaria e agli investimenti o operazioni straordinarie che abbiano caratteristiche tali da modificare sostanzialmente l’attività e il </w:t>
      </w:r>
      <w:r w:rsidRPr="00A25879">
        <w:rPr>
          <w:i/>
          <w:noProof w:val="0"/>
          <w:color w:val="000000"/>
          <w:sz w:val="23"/>
          <w:szCs w:val="23"/>
        </w:rPr>
        <w:t xml:space="preserve">business </w:t>
      </w:r>
      <w:r w:rsidRPr="00763931">
        <w:rPr>
          <w:noProof w:val="0"/>
          <w:color w:val="000000"/>
          <w:sz w:val="23"/>
          <w:szCs w:val="23"/>
        </w:rPr>
        <w:t>e sarà presieduto da un membro di designazione di L</w:t>
      </w:r>
      <w:r w:rsidR="00346351">
        <w:rPr>
          <w:noProof w:val="0"/>
          <w:color w:val="000000"/>
          <w:sz w:val="23"/>
          <w:szCs w:val="23"/>
        </w:rPr>
        <w:t>eona</w:t>
      </w:r>
      <w:r w:rsidR="000E32A1">
        <w:rPr>
          <w:noProof w:val="0"/>
          <w:color w:val="000000"/>
          <w:sz w:val="23"/>
          <w:szCs w:val="23"/>
        </w:rPr>
        <w:t>r</w:t>
      </w:r>
      <w:r w:rsidR="00346351">
        <w:rPr>
          <w:noProof w:val="0"/>
          <w:color w:val="000000"/>
          <w:sz w:val="23"/>
          <w:szCs w:val="23"/>
        </w:rPr>
        <w:t>do</w:t>
      </w:r>
      <w:r w:rsidRPr="00763931">
        <w:rPr>
          <w:noProof w:val="0"/>
          <w:color w:val="000000"/>
          <w:sz w:val="23"/>
          <w:szCs w:val="23"/>
        </w:rPr>
        <w:t xml:space="preserve"> e composto dall’amministratore delegato e da altro membro indipendente; e </w:t>
      </w:r>
    </w:p>
    <w:p w:rsidR="000E32A1" w:rsidRPr="00F82AD4" w:rsidRDefault="00763931" w:rsidP="000E32A1">
      <w:pPr>
        <w:pStyle w:val="TOC1"/>
        <w:numPr>
          <w:ilvl w:val="0"/>
          <w:numId w:val="29"/>
        </w:numPr>
        <w:rPr>
          <w:noProof w:val="0"/>
          <w:color w:val="000000"/>
          <w:sz w:val="23"/>
          <w:szCs w:val="23"/>
        </w:rPr>
      </w:pPr>
      <w:r w:rsidRPr="00763931">
        <w:rPr>
          <w:noProof w:val="0"/>
          <w:color w:val="000000"/>
          <w:sz w:val="23"/>
          <w:szCs w:val="23"/>
        </w:rPr>
        <w:t xml:space="preserve">il Comitato Strategico Golden Power, che avrà un ruolo consultivo per le attività strategiche rilevanti per la sicurezza nazionale e la gestione delle tematiche afferenti alla </w:t>
      </w:r>
      <w:r w:rsidR="00B53FFF">
        <w:rPr>
          <w:noProof w:val="0"/>
          <w:color w:val="000000"/>
          <w:sz w:val="23"/>
          <w:szCs w:val="23"/>
        </w:rPr>
        <w:t>cd. n</w:t>
      </w:r>
      <w:r w:rsidRPr="00763931">
        <w:rPr>
          <w:noProof w:val="0"/>
          <w:color w:val="000000"/>
          <w:sz w:val="23"/>
          <w:szCs w:val="23"/>
        </w:rPr>
        <w:t xml:space="preserve">ormativa </w:t>
      </w:r>
      <w:r w:rsidR="000E32A1" w:rsidRPr="000E32A1">
        <w:rPr>
          <w:i/>
          <w:noProof w:val="0"/>
          <w:color w:val="000000"/>
          <w:sz w:val="23"/>
          <w:szCs w:val="23"/>
        </w:rPr>
        <w:t>g</w:t>
      </w:r>
      <w:r w:rsidRPr="000E32A1">
        <w:rPr>
          <w:i/>
          <w:noProof w:val="0"/>
          <w:color w:val="000000"/>
          <w:sz w:val="23"/>
          <w:szCs w:val="23"/>
        </w:rPr>
        <w:t xml:space="preserve">olden </w:t>
      </w:r>
      <w:r w:rsidR="000E32A1" w:rsidRPr="000E32A1">
        <w:rPr>
          <w:i/>
          <w:noProof w:val="0"/>
          <w:color w:val="000000"/>
          <w:sz w:val="23"/>
          <w:szCs w:val="23"/>
        </w:rPr>
        <w:t>p</w:t>
      </w:r>
      <w:r w:rsidRPr="000E32A1">
        <w:rPr>
          <w:i/>
          <w:noProof w:val="0"/>
          <w:color w:val="000000"/>
          <w:sz w:val="23"/>
          <w:szCs w:val="23"/>
        </w:rPr>
        <w:t>ower</w:t>
      </w:r>
      <w:r w:rsidRPr="00763931">
        <w:rPr>
          <w:noProof w:val="0"/>
          <w:color w:val="000000"/>
          <w:sz w:val="23"/>
          <w:szCs w:val="23"/>
        </w:rPr>
        <w:t xml:space="preserve"> e sarà composto da un membro di designazione di </w:t>
      </w:r>
      <w:r w:rsidR="00B53FFF" w:rsidRPr="00763931">
        <w:rPr>
          <w:noProof w:val="0"/>
          <w:color w:val="000000"/>
          <w:sz w:val="23"/>
          <w:szCs w:val="23"/>
        </w:rPr>
        <w:t>L</w:t>
      </w:r>
      <w:r w:rsidR="00B53FFF">
        <w:rPr>
          <w:noProof w:val="0"/>
          <w:color w:val="000000"/>
          <w:sz w:val="23"/>
          <w:szCs w:val="23"/>
        </w:rPr>
        <w:t>eonardo</w:t>
      </w:r>
      <w:r w:rsidRPr="00763931">
        <w:rPr>
          <w:noProof w:val="0"/>
          <w:color w:val="000000"/>
          <w:sz w:val="23"/>
          <w:szCs w:val="23"/>
        </w:rPr>
        <w:t xml:space="preserve">, dal presidente del consiglio di amministrazione o dall’amministratore delegato e da un membro indipendente. </w:t>
      </w:r>
    </w:p>
    <w:p w:rsidR="00F82AD4" w:rsidRPr="00F82AD4" w:rsidRDefault="00F82AD4" w:rsidP="00F82AD4">
      <w:pPr>
        <w:pStyle w:val="NormalWeb"/>
        <w:jc w:val="both"/>
      </w:pPr>
      <w:r>
        <w:rPr>
          <w:rFonts w:ascii="Garamond" w:hAnsi="Garamond"/>
          <w:sz w:val="23"/>
          <w:szCs w:val="23"/>
        </w:rPr>
        <w:t xml:space="preserve">Ai sensi del </w:t>
      </w:r>
      <w:r w:rsidRPr="000E32A1">
        <w:rPr>
          <w:rFonts w:ascii="Garamond" w:hAnsi="Garamond"/>
          <w:sz w:val="23"/>
          <w:szCs w:val="23"/>
        </w:rPr>
        <w:t>Patto Parasociale</w:t>
      </w:r>
      <w:r>
        <w:rPr>
          <w:rFonts w:ascii="Garamond" w:hAnsi="Garamond"/>
          <w:sz w:val="23"/>
          <w:szCs w:val="23"/>
        </w:rPr>
        <w:t>, nel corso della prima riunione successiva alla Data di Efficacia della Fusione</w:t>
      </w:r>
      <w:r w:rsidR="00DB16BC">
        <w:rPr>
          <w:rFonts w:ascii="Garamond" w:hAnsi="Garamond"/>
          <w:sz w:val="23"/>
          <w:szCs w:val="23"/>
        </w:rPr>
        <w:t>,</w:t>
      </w:r>
      <w:r>
        <w:rPr>
          <w:rFonts w:ascii="Garamond" w:hAnsi="Garamond"/>
          <w:sz w:val="23"/>
          <w:szCs w:val="23"/>
        </w:rPr>
        <w:t xml:space="preserve"> il Consiglio di Amministrazione </w:t>
      </w:r>
      <w:r w:rsidRPr="00F82AD4">
        <w:rPr>
          <w:rFonts w:ascii="Garamond" w:hAnsi="Garamond"/>
          <w:sz w:val="23"/>
          <w:szCs w:val="23"/>
        </w:rPr>
        <w:t>dell’Emittente</w:t>
      </w:r>
      <w:r>
        <w:rPr>
          <w:rFonts w:ascii="Garamond" w:hAnsi="Garamond"/>
          <w:sz w:val="23"/>
          <w:szCs w:val="23"/>
        </w:rPr>
        <w:t xml:space="preserve"> procederà alla nomina dei componenti dei comitati interni in conformità alla disposizioni sopra descritte.</w:t>
      </w:r>
    </w:p>
    <w:p w:rsidR="000E32A1" w:rsidRPr="000E32A1" w:rsidRDefault="000E32A1" w:rsidP="000E32A1">
      <w:pPr>
        <w:pStyle w:val="TOC1"/>
        <w:rPr>
          <w:noProof w:val="0"/>
          <w:color w:val="000000"/>
          <w:sz w:val="23"/>
          <w:szCs w:val="23"/>
        </w:rPr>
      </w:pPr>
      <w:r w:rsidRPr="00682BD5">
        <w:rPr>
          <w:b/>
          <w:bCs/>
          <w:i/>
          <w:iCs/>
          <w:sz w:val="23"/>
          <w:szCs w:val="23"/>
        </w:rPr>
        <w:t>(</w:t>
      </w:r>
      <w:r>
        <w:rPr>
          <w:b/>
          <w:bCs/>
          <w:i/>
          <w:iCs/>
          <w:sz w:val="23"/>
          <w:szCs w:val="23"/>
        </w:rPr>
        <w:t>b</w:t>
      </w:r>
      <w:r w:rsidRPr="00682BD5">
        <w:rPr>
          <w:b/>
          <w:bCs/>
          <w:i/>
          <w:iCs/>
          <w:sz w:val="23"/>
          <w:szCs w:val="23"/>
        </w:rPr>
        <w:t>) Impegni relativi alla</w:t>
      </w:r>
      <w:r>
        <w:rPr>
          <w:b/>
          <w:bCs/>
          <w:i/>
          <w:iCs/>
          <w:sz w:val="23"/>
          <w:szCs w:val="23"/>
        </w:rPr>
        <w:t xml:space="preserve"> nomina dell’amministratore delegato e del presidente del Consiglio di Amministrazione </w:t>
      </w:r>
      <w:r w:rsidR="00F82AD4" w:rsidRPr="00F82AD4">
        <w:rPr>
          <w:b/>
          <w:bCs/>
          <w:i/>
          <w:iCs/>
          <w:sz w:val="23"/>
          <w:szCs w:val="23"/>
        </w:rPr>
        <w:t xml:space="preserve">dell’Emittente </w:t>
      </w:r>
      <w:r>
        <w:rPr>
          <w:b/>
          <w:bCs/>
          <w:iCs/>
          <w:sz w:val="23"/>
          <w:szCs w:val="23"/>
        </w:rPr>
        <w:t xml:space="preserve">post </w:t>
      </w:r>
      <w:r w:rsidRPr="00763931">
        <w:rPr>
          <w:b/>
          <w:bCs/>
          <w:i/>
          <w:iCs/>
          <w:sz w:val="23"/>
          <w:szCs w:val="23"/>
        </w:rPr>
        <w:t>Fusione</w:t>
      </w:r>
      <w:r w:rsidRPr="00682BD5">
        <w:rPr>
          <w:b/>
          <w:bCs/>
          <w:i/>
          <w:iCs/>
          <w:sz w:val="23"/>
          <w:szCs w:val="23"/>
        </w:rPr>
        <w:t xml:space="preserve"> </w:t>
      </w:r>
    </w:p>
    <w:p w:rsidR="000E32A1" w:rsidRPr="00753116" w:rsidRDefault="000E32A1" w:rsidP="00F82AD4">
      <w:pPr>
        <w:pStyle w:val="NormalWeb"/>
        <w:jc w:val="both"/>
      </w:pPr>
      <w:r>
        <w:rPr>
          <w:rFonts w:ascii="Garamond" w:hAnsi="Garamond"/>
          <w:sz w:val="23"/>
          <w:szCs w:val="23"/>
        </w:rPr>
        <w:t xml:space="preserve">Ai sensi del </w:t>
      </w:r>
      <w:r w:rsidRPr="000E32A1">
        <w:rPr>
          <w:rFonts w:ascii="Garamond" w:hAnsi="Garamond"/>
          <w:sz w:val="23"/>
          <w:szCs w:val="23"/>
        </w:rPr>
        <w:t>Patto Parasociale</w:t>
      </w:r>
      <w:r w:rsidR="00F82AD4">
        <w:rPr>
          <w:rFonts w:ascii="Garamond" w:hAnsi="Garamond"/>
          <w:sz w:val="23"/>
          <w:szCs w:val="23"/>
        </w:rPr>
        <w:t>, nel corso della prima riunione successiva alla Data di Efficacia della Fusione</w:t>
      </w:r>
      <w:r w:rsidR="00DB16BC">
        <w:rPr>
          <w:rFonts w:ascii="Garamond" w:hAnsi="Garamond"/>
          <w:sz w:val="23"/>
          <w:szCs w:val="23"/>
        </w:rPr>
        <w:t>,</w:t>
      </w:r>
      <w:r w:rsidR="00F82AD4">
        <w:rPr>
          <w:rFonts w:ascii="Garamond" w:hAnsi="Garamond"/>
          <w:sz w:val="23"/>
          <w:szCs w:val="23"/>
        </w:rPr>
        <w:t xml:space="preserve"> il Consiglio di Amministrazione </w:t>
      </w:r>
      <w:r w:rsidR="00F82AD4" w:rsidRPr="00F82AD4">
        <w:rPr>
          <w:rFonts w:ascii="Garamond" w:hAnsi="Garamond"/>
          <w:sz w:val="23"/>
          <w:szCs w:val="23"/>
        </w:rPr>
        <w:t>dell’Emittente</w:t>
      </w:r>
      <w:r w:rsidR="00F82AD4">
        <w:rPr>
          <w:rFonts w:ascii="Garamond" w:hAnsi="Garamond"/>
          <w:sz w:val="23"/>
          <w:szCs w:val="23"/>
        </w:rPr>
        <w:t xml:space="preserve"> procederà alla nomina de: (i) l’ing. Giulio</w:t>
      </w:r>
      <w:r w:rsidR="00753116">
        <w:rPr>
          <w:rFonts w:ascii="Garamond" w:hAnsi="Garamond"/>
          <w:sz w:val="23"/>
          <w:szCs w:val="23"/>
        </w:rPr>
        <w:t xml:space="preserve"> </w:t>
      </w:r>
      <w:r w:rsidR="00DB16BC">
        <w:rPr>
          <w:rFonts w:ascii="Garamond" w:hAnsi="Garamond"/>
          <w:sz w:val="23"/>
          <w:szCs w:val="23"/>
        </w:rPr>
        <w:t xml:space="preserve">Ranzo </w:t>
      </w:r>
      <w:r w:rsidR="00753116">
        <w:rPr>
          <w:rFonts w:ascii="Garamond" w:hAnsi="Garamond"/>
          <w:sz w:val="23"/>
          <w:szCs w:val="23"/>
        </w:rPr>
        <w:t xml:space="preserve">quale amministratore delegato dell’Emittente </w:t>
      </w:r>
      <w:r w:rsidR="00753116">
        <w:rPr>
          <w:rFonts w:ascii="Garamond" w:hAnsi="Garamond"/>
          <w:i/>
          <w:sz w:val="23"/>
          <w:szCs w:val="23"/>
        </w:rPr>
        <w:t xml:space="preserve">post </w:t>
      </w:r>
      <w:r w:rsidR="00753116">
        <w:rPr>
          <w:rFonts w:ascii="Garamond" w:hAnsi="Garamond"/>
          <w:sz w:val="23"/>
          <w:szCs w:val="23"/>
        </w:rPr>
        <w:t>Fusione; e (ii) il dott. Roberto Italia quale presidente del consiglio di amministrazione</w:t>
      </w:r>
      <w:r w:rsidR="00753116" w:rsidRPr="00753116">
        <w:rPr>
          <w:rFonts w:ascii="Garamond" w:hAnsi="Garamond"/>
          <w:sz w:val="23"/>
          <w:szCs w:val="23"/>
        </w:rPr>
        <w:t xml:space="preserve"> dell’Emittente </w:t>
      </w:r>
      <w:r w:rsidR="00753116" w:rsidRPr="00753116">
        <w:rPr>
          <w:rFonts w:ascii="Garamond" w:hAnsi="Garamond"/>
          <w:i/>
          <w:sz w:val="23"/>
          <w:szCs w:val="23"/>
        </w:rPr>
        <w:t xml:space="preserve">post </w:t>
      </w:r>
      <w:r w:rsidR="00753116" w:rsidRPr="00753116">
        <w:rPr>
          <w:rFonts w:ascii="Garamond" w:hAnsi="Garamond"/>
          <w:sz w:val="23"/>
          <w:szCs w:val="23"/>
        </w:rPr>
        <w:t>Fusione</w:t>
      </w:r>
      <w:r w:rsidR="00753116">
        <w:rPr>
          <w:rFonts w:ascii="Garamond" w:hAnsi="Garamond"/>
          <w:sz w:val="23"/>
          <w:szCs w:val="23"/>
        </w:rPr>
        <w:t>.</w:t>
      </w:r>
    </w:p>
    <w:p w:rsidR="00753116" w:rsidRPr="00753116" w:rsidRDefault="008C16EB" w:rsidP="00753116">
      <w:pPr>
        <w:pStyle w:val="NormalWeb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82BD5">
        <w:rPr>
          <w:rFonts w:ascii="Garamond" w:hAnsi="Garamond"/>
          <w:b/>
          <w:bCs/>
          <w:i/>
          <w:iCs/>
          <w:sz w:val="23"/>
          <w:szCs w:val="23"/>
        </w:rPr>
        <w:t>(</w:t>
      </w:r>
      <w:r w:rsidR="00753116">
        <w:rPr>
          <w:rFonts w:ascii="Garamond" w:hAnsi="Garamond"/>
          <w:b/>
          <w:bCs/>
          <w:i/>
          <w:iCs/>
          <w:sz w:val="23"/>
          <w:szCs w:val="23"/>
        </w:rPr>
        <w:t>c</w:t>
      </w:r>
      <w:r w:rsidRPr="00682BD5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 w:rsidR="00753116" w:rsidRPr="00753116">
        <w:rPr>
          <w:rFonts w:ascii="Garamond" w:hAnsi="Garamond"/>
          <w:b/>
          <w:bCs/>
          <w:i/>
          <w:iCs/>
          <w:sz w:val="23"/>
          <w:szCs w:val="23"/>
        </w:rPr>
        <w:t xml:space="preserve">Impegni relativi alla circolazione delle azioni </w:t>
      </w:r>
      <w:r w:rsidR="00753116">
        <w:rPr>
          <w:rFonts w:ascii="Garamond" w:hAnsi="Garamond"/>
          <w:b/>
          <w:bCs/>
          <w:i/>
          <w:iCs/>
          <w:sz w:val="23"/>
          <w:szCs w:val="23"/>
        </w:rPr>
        <w:t>ordinarie dell’Emittente</w:t>
      </w:r>
      <w:r w:rsidR="00753116" w:rsidRPr="00753116">
        <w:rPr>
          <w:rFonts w:ascii="Garamond" w:hAnsi="Garamond"/>
          <w:b/>
          <w:bCs/>
          <w:i/>
          <w:iCs/>
          <w:sz w:val="23"/>
          <w:szCs w:val="23"/>
        </w:rPr>
        <w:t xml:space="preserve"> (successivamente alla Data di Efficacia della Fusione)</w:t>
      </w:r>
    </w:p>
    <w:p w:rsidR="00EA2EE4" w:rsidRPr="00B53FFF" w:rsidRDefault="00B53FFF" w:rsidP="00B53FFF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Le azioni ordinarie </w:t>
      </w:r>
      <w:r w:rsidR="00753116">
        <w:rPr>
          <w:rFonts w:ascii="Garamond" w:hAnsi="Garamond"/>
          <w:sz w:val="23"/>
          <w:szCs w:val="23"/>
        </w:rPr>
        <w:t>dell’Emit</w:t>
      </w:r>
      <w:r w:rsidR="00DB16BC">
        <w:rPr>
          <w:rFonts w:ascii="Garamond" w:hAnsi="Garamond"/>
          <w:sz w:val="23"/>
          <w:szCs w:val="23"/>
        </w:rPr>
        <w:t>tente</w:t>
      </w:r>
      <w:r>
        <w:rPr>
          <w:rFonts w:ascii="Garamond" w:hAnsi="Garamond"/>
          <w:sz w:val="23"/>
          <w:szCs w:val="23"/>
        </w:rPr>
        <w:t xml:space="preserve"> che saranno assegnate a Leonardo in concambio nell’ambito della Fusione saranno soggette a un vincolo </w:t>
      </w:r>
      <w:r w:rsidRPr="00B53FFF">
        <w:rPr>
          <w:rFonts w:ascii="Garamond" w:hAnsi="Garamond"/>
          <w:sz w:val="23"/>
          <w:szCs w:val="23"/>
        </w:rPr>
        <w:t xml:space="preserve">di </w:t>
      </w:r>
      <w:r w:rsidRPr="00B53FFF">
        <w:rPr>
          <w:rFonts w:ascii="Garamond" w:hAnsi="Garamond"/>
          <w:i/>
          <w:sz w:val="23"/>
          <w:szCs w:val="23"/>
        </w:rPr>
        <w:t>lock-up</w:t>
      </w:r>
      <w:r w:rsidRPr="00B53FFF">
        <w:rPr>
          <w:rFonts w:ascii="Garamond" w:hAnsi="Garamond"/>
          <w:sz w:val="23"/>
          <w:szCs w:val="23"/>
        </w:rPr>
        <w:t xml:space="preserve"> </w:t>
      </w:r>
      <w:r w:rsidR="00753116">
        <w:rPr>
          <w:rFonts w:ascii="Garamond" w:hAnsi="Garamond"/>
          <w:sz w:val="23"/>
          <w:szCs w:val="23"/>
        </w:rPr>
        <w:t>pari</w:t>
      </w:r>
      <w:r>
        <w:rPr>
          <w:rFonts w:ascii="Garamond" w:hAnsi="Garamond"/>
          <w:sz w:val="23"/>
          <w:szCs w:val="23"/>
        </w:rPr>
        <w:t xml:space="preserve"> a 24 mesi </w:t>
      </w:r>
      <w:r w:rsidRPr="00B53FFF">
        <w:rPr>
          <w:rFonts w:ascii="Garamond" w:hAnsi="Garamond"/>
          <w:sz w:val="23"/>
          <w:szCs w:val="23"/>
        </w:rPr>
        <w:t xml:space="preserve">dalla </w:t>
      </w:r>
      <w:r>
        <w:rPr>
          <w:rFonts w:ascii="Garamond" w:hAnsi="Garamond"/>
          <w:sz w:val="23"/>
          <w:szCs w:val="23"/>
        </w:rPr>
        <w:t>D</w:t>
      </w:r>
      <w:r w:rsidRPr="00B53FFF">
        <w:rPr>
          <w:rFonts w:ascii="Garamond" w:hAnsi="Garamond"/>
          <w:sz w:val="23"/>
          <w:szCs w:val="23"/>
        </w:rPr>
        <w:t xml:space="preserve">ata di </w:t>
      </w:r>
      <w:r>
        <w:rPr>
          <w:rFonts w:ascii="Garamond" w:hAnsi="Garamond"/>
          <w:sz w:val="23"/>
          <w:szCs w:val="23"/>
        </w:rPr>
        <w:t>E</w:t>
      </w:r>
      <w:r w:rsidRPr="00B53FFF">
        <w:rPr>
          <w:rFonts w:ascii="Garamond" w:hAnsi="Garamond"/>
          <w:sz w:val="23"/>
          <w:szCs w:val="23"/>
        </w:rPr>
        <w:t>fficacia della Fusione</w:t>
      </w:r>
      <w:r>
        <w:rPr>
          <w:rFonts w:ascii="Garamond" w:hAnsi="Garamond"/>
          <w:sz w:val="23"/>
          <w:szCs w:val="23"/>
        </w:rPr>
        <w:t>.</w:t>
      </w:r>
    </w:p>
    <w:p w:rsidR="00286FA6" w:rsidRPr="00682BD5" w:rsidRDefault="00BB1AD4" w:rsidP="00286FA6">
      <w:pPr>
        <w:pStyle w:val="NormalWeb"/>
        <w:jc w:val="both"/>
        <w:rPr>
          <w:rFonts w:ascii="Garamond" w:hAnsi="Garamond"/>
          <w:b/>
          <w:sz w:val="23"/>
          <w:szCs w:val="23"/>
        </w:rPr>
      </w:pPr>
      <w:r w:rsidRPr="00682BD5">
        <w:rPr>
          <w:rFonts w:ascii="Garamond" w:hAnsi="Garamond"/>
          <w:b/>
          <w:sz w:val="23"/>
          <w:szCs w:val="23"/>
        </w:rPr>
        <w:t>6</w:t>
      </w:r>
      <w:r w:rsidR="00286FA6" w:rsidRPr="00682BD5">
        <w:rPr>
          <w:rFonts w:ascii="Garamond" w:hAnsi="Garamond"/>
          <w:b/>
          <w:sz w:val="23"/>
          <w:szCs w:val="23"/>
        </w:rPr>
        <w:t xml:space="preserve">. </w:t>
      </w:r>
      <w:r w:rsidR="00286FA6" w:rsidRPr="00682BD5">
        <w:rPr>
          <w:rFonts w:ascii="Garamond" w:hAnsi="Garamond"/>
          <w:b/>
          <w:sz w:val="23"/>
          <w:szCs w:val="23"/>
          <w:u w:val="single"/>
        </w:rPr>
        <w:t xml:space="preserve">Durata del </w:t>
      </w:r>
      <w:r w:rsidR="00286FA6" w:rsidRPr="00D10AA8">
        <w:rPr>
          <w:rFonts w:ascii="Garamond" w:hAnsi="Garamond"/>
          <w:b/>
          <w:sz w:val="23"/>
          <w:szCs w:val="23"/>
          <w:u w:val="single"/>
        </w:rPr>
        <w:t xml:space="preserve">Patto </w:t>
      </w:r>
      <w:r w:rsidR="00D10AA8" w:rsidRPr="00D10AA8">
        <w:rPr>
          <w:rFonts w:ascii="Garamond" w:hAnsi="Garamond"/>
          <w:b/>
          <w:sz w:val="23"/>
          <w:szCs w:val="23"/>
          <w:u w:val="single"/>
        </w:rPr>
        <w:t>Parasociale</w:t>
      </w:r>
    </w:p>
    <w:p w:rsidR="002F229C" w:rsidRPr="00682BD5" w:rsidRDefault="00286FA6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>Il Patto</w:t>
      </w:r>
      <w:r w:rsidR="00B53FFF">
        <w:rPr>
          <w:rFonts w:ascii="Garamond" w:hAnsi="Garamond"/>
          <w:sz w:val="23"/>
          <w:szCs w:val="23"/>
        </w:rPr>
        <w:t xml:space="preserve"> Parasociale </w:t>
      </w:r>
      <w:r w:rsidR="008C16EB" w:rsidRPr="00682BD5">
        <w:rPr>
          <w:rFonts w:ascii="Garamond" w:hAnsi="Garamond"/>
          <w:sz w:val="23"/>
          <w:szCs w:val="23"/>
        </w:rPr>
        <w:t xml:space="preserve">entrerà in vigore alla Data di Efficacia della Fusione </w:t>
      </w:r>
      <w:r w:rsidR="00471178">
        <w:rPr>
          <w:rFonts w:ascii="Garamond" w:hAnsi="Garamond"/>
          <w:sz w:val="23"/>
          <w:szCs w:val="23"/>
        </w:rPr>
        <w:t xml:space="preserve">e </w:t>
      </w:r>
      <w:r w:rsidR="008C16EB" w:rsidRPr="00682BD5">
        <w:rPr>
          <w:rFonts w:ascii="Garamond" w:hAnsi="Garamond"/>
          <w:sz w:val="23"/>
          <w:szCs w:val="23"/>
        </w:rPr>
        <w:t xml:space="preserve">avrà </w:t>
      </w:r>
      <w:r w:rsidRPr="00682BD5">
        <w:rPr>
          <w:rFonts w:ascii="Garamond" w:hAnsi="Garamond"/>
          <w:sz w:val="23"/>
          <w:szCs w:val="23"/>
        </w:rPr>
        <w:t xml:space="preserve">una durata di </w:t>
      </w:r>
      <w:r w:rsidR="00471178">
        <w:rPr>
          <w:rFonts w:ascii="Garamond" w:hAnsi="Garamond"/>
          <w:sz w:val="23"/>
          <w:szCs w:val="23"/>
        </w:rPr>
        <w:t>2</w:t>
      </w:r>
      <w:r w:rsidR="003A7FF7">
        <w:rPr>
          <w:rFonts w:ascii="Garamond" w:hAnsi="Garamond"/>
          <w:sz w:val="23"/>
          <w:szCs w:val="23"/>
        </w:rPr>
        <w:t>4 mesi</w:t>
      </w:r>
      <w:r w:rsidRPr="00682BD5">
        <w:rPr>
          <w:rFonts w:ascii="Garamond" w:hAnsi="Garamond"/>
          <w:sz w:val="23"/>
          <w:szCs w:val="23"/>
        </w:rPr>
        <w:t xml:space="preserve"> a decorrere </w:t>
      </w:r>
      <w:r w:rsidR="008C16EB" w:rsidRPr="00682BD5">
        <w:rPr>
          <w:rFonts w:ascii="Garamond" w:hAnsi="Garamond"/>
          <w:sz w:val="23"/>
          <w:szCs w:val="23"/>
        </w:rPr>
        <w:t>da tale data</w:t>
      </w:r>
      <w:r w:rsidR="002F229C" w:rsidRPr="00682BD5">
        <w:rPr>
          <w:rFonts w:ascii="Garamond" w:hAnsi="Garamond"/>
          <w:sz w:val="23"/>
          <w:szCs w:val="23"/>
        </w:rPr>
        <w:t xml:space="preserve">. </w:t>
      </w:r>
    </w:p>
    <w:p w:rsidR="00286FA6" w:rsidRPr="00682BD5" w:rsidRDefault="009D6688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Style w:val="Strong"/>
          <w:rFonts w:ascii="Garamond" w:hAnsi="Garamond"/>
          <w:sz w:val="23"/>
          <w:szCs w:val="23"/>
        </w:rPr>
        <w:t>7</w:t>
      </w:r>
      <w:r w:rsidR="00286FA6" w:rsidRPr="00682BD5">
        <w:rPr>
          <w:rStyle w:val="Strong"/>
          <w:rFonts w:ascii="Garamond" w:hAnsi="Garamond"/>
          <w:sz w:val="23"/>
          <w:szCs w:val="23"/>
        </w:rPr>
        <w:t xml:space="preserve">. </w:t>
      </w:r>
      <w:r w:rsidR="00FC3841" w:rsidRPr="00682BD5">
        <w:rPr>
          <w:rStyle w:val="Strong"/>
          <w:rFonts w:ascii="Garamond" w:hAnsi="Garamond"/>
          <w:sz w:val="23"/>
          <w:szCs w:val="23"/>
          <w:u w:val="single"/>
        </w:rPr>
        <w:t>Informazioni ulteriori</w:t>
      </w:r>
      <w:r w:rsidR="00286FA6" w:rsidRPr="00682BD5">
        <w:rPr>
          <w:rFonts w:ascii="Garamond" w:hAnsi="Garamond"/>
          <w:sz w:val="23"/>
          <w:szCs w:val="23"/>
        </w:rPr>
        <w:t xml:space="preserve"> </w:t>
      </w:r>
    </w:p>
    <w:p w:rsidR="00FC3841" w:rsidRDefault="00FC3841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Le informazioni di cui all’art. 130 del </w:t>
      </w:r>
      <w:r w:rsidR="00A16C8F" w:rsidRPr="00682BD5">
        <w:rPr>
          <w:rFonts w:ascii="Garamond" w:hAnsi="Garamond"/>
          <w:sz w:val="23"/>
          <w:szCs w:val="23"/>
        </w:rPr>
        <w:t>Regolamento Emittenti</w:t>
      </w:r>
      <w:r w:rsidRPr="00682BD5">
        <w:rPr>
          <w:rFonts w:ascii="Garamond" w:hAnsi="Garamond"/>
          <w:sz w:val="23"/>
          <w:szCs w:val="23"/>
        </w:rPr>
        <w:t xml:space="preserve"> sono pubblicate sul sito web </w:t>
      </w:r>
      <w:hyperlink r:id="rId9" w:history="1">
        <w:r w:rsidR="00550221" w:rsidRPr="005A1C5B">
          <w:rPr>
            <w:rStyle w:val="Hyperlink"/>
            <w:rFonts w:ascii="Garamond" w:hAnsi="Garamond"/>
            <w:sz w:val="23"/>
            <w:szCs w:val="23"/>
          </w:rPr>
          <w:t>www.space2spa.com</w:t>
        </w:r>
      </w:hyperlink>
      <w:r w:rsidRPr="00682BD5">
        <w:rPr>
          <w:rFonts w:ascii="Garamond" w:hAnsi="Garamond"/>
          <w:sz w:val="23"/>
          <w:szCs w:val="23"/>
        </w:rPr>
        <w:t>.</w:t>
      </w:r>
    </w:p>
    <w:p w:rsidR="00550221" w:rsidRDefault="00550221" w:rsidP="00550221">
      <w:pPr>
        <w:pStyle w:val="NormalWeb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Si ricorda che il </w:t>
      </w:r>
      <w:r w:rsidRPr="00550221">
        <w:rPr>
          <w:rFonts w:ascii="Garamond" w:hAnsi="Garamond"/>
          <w:i/>
          <w:sz w:val="23"/>
          <w:szCs w:val="23"/>
        </w:rPr>
        <w:t xml:space="preserve">term sheet </w:t>
      </w:r>
      <w:r w:rsidRPr="00550221">
        <w:rPr>
          <w:rFonts w:ascii="Garamond" w:hAnsi="Garamond"/>
          <w:bCs/>
          <w:sz w:val="23"/>
          <w:szCs w:val="23"/>
        </w:rPr>
        <w:t xml:space="preserve">sottoscritto </w:t>
      </w:r>
      <w:r>
        <w:rPr>
          <w:rFonts w:ascii="Garamond" w:hAnsi="Garamond"/>
          <w:bCs/>
          <w:sz w:val="23"/>
          <w:szCs w:val="23"/>
        </w:rPr>
        <w:t xml:space="preserve">da Space2 e da Leonardo </w:t>
      </w:r>
      <w:r w:rsidRPr="00550221">
        <w:rPr>
          <w:rFonts w:ascii="Garamond" w:hAnsi="Garamond"/>
          <w:sz w:val="23"/>
          <w:szCs w:val="23"/>
        </w:rPr>
        <w:t>in data 19 ottobre 2016</w:t>
      </w:r>
      <w:r>
        <w:rPr>
          <w:rFonts w:ascii="Garamond" w:hAnsi="Garamond"/>
          <w:sz w:val="23"/>
          <w:szCs w:val="23"/>
        </w:rPr>
        <w:t xml:space="preserve"> - </w:t>
      </w:r>
      <w:r w:rsidR="00A830CB">
        <w:rPr>
          <w:rFonts w:ascii="Garamond" w:hAnsi="Garamond"/>
          <w:sz w:val="23"/>
          <w:szCs w:val="23"/>
        </w:rPr>
        <w:t>di cui il</w:t>
      </w:r>
      <w:r>
        <w:rPr>
          <w:rFonts w:ascii="Garamond" w:hAnsi="Garamond"/>
          <w:sz w:val="23"/>
          <w:szCs w:val="23"/>
        </w:rPr>
        <w:t xml:space="preserve"> Patto Parasociale</w:t>
      </w:r>
      <w:r w:rsidR="00A830CB">
        <w:rPr>
          <w:rFonts w:ascii="Garamond" w:hAnsi="Garamond"/>
          <w:sz w:val="23"/>
          <w:szCs w:val="23"/>
        </w:rPr>
        <w:t xml:space="preserve"> riproduce il contenuto</w:t>
      </w:r>
      <w:r>
        <w:rPr>
          <w:rFonts w:ascii="Garamond" w:hAnsi="Garamond"/>
          <w:sz w:val="23"/>
          <w:szCs w:val="23"/>
        </w:rPr>
        <w:t xml:space="preserve"> - </w:t>
      </w:r>
      <w:r w:rsidRPr="00550221">
        <w:rPr>
          <w:rFonts w:ascii="Garamond" w:hAnsi="Garamond"/>
          <w:sz w:val="23"/>
          <w:szCs w:val="23"/>
        </w:rPr>
        <w:t>è stato depositato, limitatamente alle pattuizioni di rilevanza parasociale, presso il Registro delle Imprese di Milano in data 24 ottobre 2016.</w:t>
      </w:r>
    </w:p>
    <w:p w:rsidR="00286FA6" w:rsidRPr="00682BD5" w:rsidRDefault="00E12FF2" w:rsidP="00286FA6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Il </w:t>
      </w:r>
      <w:r w:rsidR="00753116">
        <w:rPr>
          <w:rFonts w:ascii="Garamond" w:hAnsi="Garamond"/>
          <w:sz w:val="23"/>
          <w:szCs w:val="23"/>
        </w:rPr>
        <w:t>Patto Parasociale</w:t>
      </w:r>
      <w:r w:rsidR="00A14EDD" w:rsidRPr="00A14EDD">
        <w:rPr>
          <w:rFonts w:ascii="Garamond" w:hAnsi="Garamond"/>
          <w:sz w:val="23"/>
          <w:szCs w:val="23"/>
        </w:rPr>
        <w:t xml:space="preserve"> </w:t>
      </w:r>
      <w:r w:rsidRPr="00682BD5">
        <w:rPr>
          <w:rFonts w:ascii="Garamond" w:hAnsi="Garamond"/>
          <w:sz w:val="23"/>
          <w:szCs w:val="23"/>
        </w:rPr>
        <w:t>è regolato dalla legge italiana.</w:t>
      </w:r>
      <w:r w:rsidR="00BB1AD4" w:rsidRPr="00682BD5">
        <w:rPr>
          <w:rFonts w:ascii="Garamond" w:hAnsi="Garamond"/>
          <w:sz w:val="23"/>
          <w:szCs w:val="23"/>
        </w:rPr>
        <w:t xml:space="preserve"> Eventuali controversie relative al </w:t>
      </w:r>
      <w:r w:rsidR="00753116">
        <w:rPr>
          <w:rFonts w:ascii="Garamond" w:hAnsi="Garamond"/>
          <w:sz w:val="23"/>
          <w:szCs w:val="23"/>
        </w:rPr>
        <w:t>Patto Parasociale</w:t>
      </w:r>
      <w:r w:rsidR="00BB1AD4" w:rsidRPr="00682BD5">
        <w:rPr>
          <w:rFonts w:ascii="Garamond" w:hAnsi="Garamond"/>
          <w:sz w:val="23"/>
          <w:szCs w:val="23"/>
        </w:rPr>
        <w:t xml:space="preserve"> saranno </w:t>
      </w:r>
      <w:r w:rsidR="00471178">
        <w:rPr>
          <w:rFonts w:ascii="Garamond" w:hAnsi="Garamond"/>
          <w:sz w:val="23"/>
          <w:szCs w:val="23"/>
        </w:rPr>
        <w:t xml:space="preserve">devolute alla </w:t>
      </w:r>
      <w:r w:rsidR="006603ED">
        <w:rPr>
          <w:rFonts w:ascii="Garamond" w:hAnsi="Garamond"/>
          <w:sz w:val="23"/>
          <w:szCs w:val="23"/>
        </w:rPr>
        <w:t>competenza</w:t>
      </w:r>
      <w:r w:rsidR="00471178">
        <w:rPr>
          <w:rFonts w:ascii="Garamond" w:hAnsi="Garamond"/>
          <w:sz w:val="23"/>
          <w:szCs w:val="23"/>
        </w:rPr>
        <w:t xml:space="preserve"> esclusiva del Tribunale di Milano</w:t>
      </w:r>
      <w:r w:rsidR="00BB1AD4" w:rsidRPr="00682BD5">
        <w:rPr>
          <w:rFonts w:ascii="Garamond" w:hAnsi="Garamond"/>
          <w:sz w:val="23"/>
          <w:szCs w:val="23"/>
        </w:rPr>
        <w:t>.</w:t>
      </w:r>
    </w:p>
    <w:p w:rsidR="00BE45F6" w:rsidRPr="00682BD5" w:rsidRDefault="0010520E" w:rsidP="00717D52">
      <w:pPr>
        <w:pStyle w:val="NormalWeb"/>
        <w:jc w:val="both"/>
        <w:rPr>
          <w:rFonts w:ascii="Garamond" w:hAnsi="Garamond"/>
          <w:sz w:val="23"/>
          <w:szCs w:val="23"/>
        </w:rPr>
      </w:pPr>
      <w:r w:rsidRPr="00682BD5">
        <w:rPr>
          <w:rFonts w:ascii="Garamond" w:hAnsi="Garamond"/>
          <w:sz w:val="23"/>
          <w:szCs w:val="23"/>
        </w:rPr>
        <w:t xml:space="preserve">Milano, </w:t>
      </w:r>
      <w:r w:rsidR="00550221">
        <w:rPr>
          <w:rFonts w:ascii="Garamond" w:hAnsi="Garamond"/>
          <w:sz w:val="23"/>
          <w:szCs w:val="23"/>
        </w:rPr>
        <w:t>7</w:t>
      </w:r>
      <w:r w:rsidR="00753116">
        <w:rPr>
          <w:rFonts w:ascii="Garamond" w:hAnsi="Garamond"/>
          <w:sz w:val="23"/>
          <w:szCs w:val="23"/>
        </w:rPr>
        <w:t xml:space="preserve"> aprile 2017</w:t>
      </w:r>
    </w:p>
    <w:sectPr w:rsidR="00BE45F6" w:rsidRPr="00682BD5" w:rsidSect="00464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4" w:right="1701" w:bottom="22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A6" w:rsidRDefault="00286FA6">
      <w:r>
        <w:separator/>
      </w:r>
    </w:p>
  </w:endnote>
  <w:endnote w:type="continuationSeparator" w:id="0">
    <w:p w:rsidR="00286FA6" w:rsidRDefault="0028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8F" w:rsidRDefault="00766E8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7BF">
      <w:rPr>
        <w:rStyle w:val="PageNumber"/>
        <w:noProof/>
      </w:rPr>
      <w:t>4</w:t>
    </w:r>
    <w:r>
      <w:rPr>
        <w:rStyle w:val="PageNumber"/>
      </w:rPr>
      <w:fldChar w:fldCharType="end"/>
    </w:r>
  </w:p>
  <w:p w:rsidR="00766E8F" w:rsidRDefault="00766E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8F" w:rsidRDefault="00766E8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6F3">
      <w:rPr>
        <w:rStyle w:val="PageNumber"/>
        <w:noProof/>
      </w:rPr>
      <w:t>2</w:t>
    </w:r>
    <w:r>
      <w:rPr>
        <w:rStyle w:val="PageNumber"/>
      </w:rPr>
      <w:fldChar w:fldCharType="end"/>
    </w:r>
  </w:p>
  <w:p w:rsidR="00766E8F" w:rsidRDefault="00766E8F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F3" w:rsidRDefault="00266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A6" w:rsidRDefault="00286FA6">
      <w:r>
        <w:separator/>
      </w:r>
    </w:p>
  </w:footnote>
  <w:footnote w:type="continuationSeparator" w:id="0">
    <w:p w:rsidR="00286FA6" w:rsidRDefault="0028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F3" w:rsidRDefault="00266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F3" w:rsidRDefault="00266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F3" w:rsidRDefault="002666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81C0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838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D366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98E9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620F29"/>
    <w:multiLevelType w:val="multilevel"/>
    <w:tmpl w:val="9DA0A4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AE35503"/>
    <w:multiLevelType w:val="hybridMultilevel"/>
    <w:tmpl w:val="2A485268"/>
    <w:lvl w:ilvl="0" w:tplc="3ABA39BE">
      <w:start w:val="1"/>
      <w:numFmt w:val="lowerRoman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FA454A"/>
    <w:multiLevelType w:val="singleLevel"/>
    <w:tmpl w:val="ED2C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926"/>
      </w:pPr>
      <w:rPr>
        <w:rFonts w:ascii="Symbol" w:hAnsi="Symbol" w:hint="default"/>
      </w:rPr>
    </w:lvl>
  </w:abstractNum>
  <w:abstractNum w:abstractNumId="8">
    <w:nsid w:val="14A83671"/>
    <w:multiLevelType w:val="hybridMultilevel"/>
    <w:tmpl w:val="95544320"/>
    <w:lvl w:ilvl="0" w:tplc="C4801FB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C05F5"/>
    <w:multiLevelType w:val="multilevel"/>
    <w:tmpl w:val="1F207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>
    <w:nsid w:val="20AD4160"/>
    <w:multiLevelType w:val="hybridMultilevel"/>
    <w:tmpl w:val="639E1554"/>
    <w:lvl w:ilvl="0" w:tplc="52E808DC">
      <w:start w:val="1"/>
      <w:numFmt w:val="lowerLetter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C76AE"/>
    <w:multiLevelType w:val="hybridMultilevel"/>
    <w:tmpl w:val="A62A486A"/>
    <w:lvl w:ilvl="0" w:tplc="63DEACFE">
      <w:start w:val="1"/>
      <w:numFmt w:val="decimal"/>
      <w:pStyle w:val="TestoNumerat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B02077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884940C">
      <w:numFmt w:val="none"/>
      <w:lvlText w:val=""/>
      <w:lvlJc w:val="left"/>
      <w:pPr>
        <w:tabs>
          <w:tab w:val="num" w:pos="360"/>
        </w:tabs>
      </w:pPr>
    </w:lvl>
    <w:lvl w:ilvl="3" w:tplc="133AD9A6">
      <w:start w:val="1"/>
      <w:numFmt w:val="bullet"/>
      <w:lvlRestart w:val="0"/>
      <w:lvlText w:val="–"/>
      <w:lvlJc w:val="left"/>
      <w:pPr>
        <w:tabs>
          <w:tab w:val="num" w:pos="2945"/>
        </w:tabs>
        <w:ind w:left="2945" w:hanging="425"/>
      </w:pPr>
      <w:rPr>
        <w:rFonts w:ascii="GarmdITC Bk BT" w:hAnsi="GarmdITC Bk BT" w:hint="default"/>
      </w:rPr>
    </w:lvl>
    <w:lvl w:ilvl="4" w:tplc="6FB60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6B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23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0F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E7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AB02C9"/>
    <w:multiLevelType w:val="multilevel"/>
    <w:tmpl w:val="91C487B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>
    <w:nsid w:val="3E3E1078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E7452C"/>
    <w:multiLevelType w:val="hybridMultilevel"/>
    <w:tmpl w:val="69A2C3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2377C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4CF649F5"/>
    <w:multiLevelType w:val="hybridMultilevel"/>
    <w:tmpl w:val="22D23B6E"/>
    <w:lvl w:ilvl="0" w:tplc="33A00156">
      <w:start w:val="1"/>
      <w:numFmt w:val="lowerRoman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C6E3A"/>
    <w:multiLevelType w:val="singleLevel"/>
    <w:tmpl w:val="B5B8F19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8">
    <w:nsid w:val="5CD77D49"/>
    <w:multiLevelType w:val="hybridMultilevel"/>
    <w:tmpl w:val="622EFC7E"/>
    <w:lvl w:ilvl="0" w:tplc="FB020778">
      <w:start w:val="1"/>
      <w:numFmt w:val="lowerLetter"/>
      <w:lvlText w:val="(%1)"/>
      <w:lvlJc w:val="left"/>
      <w:pPr>
        <w:ind w:left="14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8" w:hanging="360"/>
      </w:pPr>
    </w:lvl>
    <w:lvl w:ilvl="2" w:tplc="0809001B" w:tentative="1">
      <w:start w:val="1"/>
      <w:numFmt w:val="lowerRoman"/>
      <w:lvlText w:val="%3."/>
      <w:lvlJc w:val="right"/>
      <w:pPr>
        <w:ind w:left="2938" w:hanging="180"/>
      </w:pPr>
    </w:lvl>
    <w:lvl w:ilvl="3" w:tplc="0809000F" w:tentative="1">
      <w:start w:val="1"/>
      <w:numFmt w:val="decimal"/>
      <w:lvlText w:val="%4."/>
      <w:lvlJc w:val="left"/>
      <w:pPr>
        <w:ind w:left="3658" w:hanging="360"/>
      </w:pPr>
    </w:lvl>
    <w:lvl w:ilvl="4" w:tplc="08090019" w:tentative="1">
      <w:start w:val="1"/>
      <w:numFmt w:val="lowerLetter"/>
      <w:lvlText w:val="%5."/>
      <w:lvlJc w:val="left"/>
      <w:pPr>
        <w:ind w:left="4378" w:hanging="360"/>
      </w:pPr>
    </w:lvl>
    <w:lvl w:ilvl="5" w:tplc="0809001B" w:tentative="1">
      <w:start w:val="1"/>
      <w:numFmt w:val="lowerRoman"/>
      <w:lvlText w:val="%6."/>
      <w:lvlJc w:val="right"/>
      <w:pPr>
        <w:ind w:left="5098" w:hanging="180"/>
      </w:pPr>
    </w:lvl>
    <w:lvl w:ilvl="6" w:tplc="0809000F" w:tentative="1">
      <w:start w:val="1"/>
      <w:numFmt w:val="decimal"/>
      <w:lvlText w:val="%7."/>
      <w:lvlJc w:val="left"/>
      <w:pPr>
        <w:ind w:left="5818" w:hanging="360"/>
      </w:pPr>
    </w:lvl>
    <w:lvl w:ilvl="7" w:tplc="08090019" w:tentative="1">
      <w:start w:val="1"/>
      <w:numFmt w:val="lowerLetter"/>
      <w:lvlText w:val="%8."/>
      <w:lvlJc w:val="left"/>
      <w:pPr>
        <w:ind w:left="6538" w:hanging="360"/>
      </w:pPr>
    </w:lvl>
    <w:lvl w:ilvl="8" w:tplc="08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9">
    <w:nsid w:val="5F3B249B"/>
    <w:multiLevelType w:val="singleLevel"/>
    <w:tmpl w:val="3ABA39BE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60531248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1">
    <w:nsid w:val="63DF407E"/>
    <w:multiLevelType w:val="hybridMultilevel"/>
    <w:tmpl w:val="A6128B96"/>
    <w:lvl w:ilvl="0" w:tplc="A7D07062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91927"/>
    <w:multiLevelType w:val="hybridMultilevel"/>
    <w:tmpl w:val="AEA4716A"/>
    <w:lvl w:ilvl="0" w:tplc="C2B08C80">
      <w:start w:val="1"/>
      <w:numFmt w:val="lowerRoman"/>
      <w:lvlText w:val="(%1)"/>
      <w:lvlJc w:val="left"/>
      <w:pPr>
        <w:ind w:left="3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4" w:hanging="360"/>
      </w:pPr>
    </w:lvl>
    <w:lvl w:ilvl="2" w:tplc="0410001B" w:tentative="1">
      <w:start w:val="1"/>
      <w:numFmt w:val="lowerRoman"/>
      <w:lvlText w:val="%3."/>
      <w:lvlJc w:val="right"/>
      <w:pPr>
        <w:ind w:left="5344" w:hanging="180"/>
      </w:pPr>
    </w:lvl>
    <w:lvl w:ilvl="3" w:tplc="0410000F" w:tentative="1">
      <w:start w:val="1"/>
      <w:numFmt w:val="decimal"/>
      <w:lvlText w:val="%4."/>
      <w:lvlJc w:val="left"/>
      <w:pPr>
        <w:ind w:left="6064" w:hanging="360"/>
      </w:pPr>
    </w:lvl>
    <w:lvl w:ilvl="4" w:tplc="04100019" w:tentative="1">
      <w:start w:val="1"/>
      <w:numFmt w:val="lowerLetter"/>
      <w:lvlText w:val="%5."/>
      <w:lvlJc w:val="left"/>
      <w:pPr>
        <w:ind w:left="6784" w:hanging="360"/>
      </w:pPr>
    </w:lvl>
    <w:lvl w:ilvl="5" w:tplc="0410001B" w:tentative="1">
      <w:start w:val="1"/>
      <w:numFmt w:val="lowerRoman"/>
      <w:lvlText w:val="%6."/>
      <w:lvlJc w:val="right"/>
      <w:pPr>
        <w:ind w:left="7504" w:hanging="180"/>
      </w:pPr>
    </w:lvl>
    <w:lvl w:ilvl="6" w:tplc="0410000F" w:tentative="1">
      <w:start w:val="1"/>
      <w:numFmt w:val="decimal"/>
      <w:lvlText w:val="%7."/>
      <w:lvlJc w:val="left"/>
      <w:pPr>
        <w:ind w:left="8224" w:hanging="360"/>
      </w:pPr>
    </w:lvl>
    <w:lvl w:ilvl="7" w:tplc="04100019" w:tentative="1">
      <w:start w:val="1"/>
      <w:numFmt w:val="lowerLetter"/>
      <w:lvlText w:val="%8."/>
      <w:lvlJc w:val="left"/>
      <w:pPr>
        <w:ind w:left="8944" w:hanging="360"/>
      </w:pPr>
    </w:lvl>
    <w:lvl w:ilvl="8" w:tplc="0410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3">
    <w:nsid w:val="71411E9D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41112D2"/>
    <w:multiLevelType w:val="hybridMultilevel"/>
    <w:tmpl w:val="54B64BD0"/>
    <w:lvl w:ilvl="0" w:tplc="2AEC11D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3"/>
  </w:num>
  <w:num w:numId="9">
    <w:abstractNumId w:val="23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20"/>
  </w:num>
  <w:num w:numId="17">
    <w:abstractNumId w:val="7"/>
  </w:num>
  <w:num w:numId="18">
    <w:abstractNumId w:val="17"/>
  </w:num>
  <w:num w:numId="19">
    <w:abstractNumId w:val="5"/>
  </w:num>
  <w:num w:numId="20">
    <w:abstractNumId w:val="8"/>
  </w:num>
  <w:num w:numId="21">
    <w:abstractNumId w:val="10"/>
  </w:num>
  <w:num w:numId="22">
    <w:abstractNumId w:val="19"/>
  </w:num>
  <w:num w:numId="23">
    <w:abstractNumId w:val="16"/>
  </w:num>
  <w:num w:numId="24">
    <w:abstractNumId w:val="11"/>
  </w:num>
  <w:num w:numId="25">
    <w:abstractNumId w:val="21"/>
  </w:num>
  <w:num w:numId="26">
    <w:abstractNumId w:val="24"/>
  </w:num>
  <w:num w:numId="27">
    <w:abstractNumId w:val="22"/>
  </w:num>
  <w:num w:numId="28">
    <w:abstractNumId w:val="18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08"/>
  <w:hyphenationZone w:val="283"/>
  <w:drawingGridHorizontalSpacing w:val="115"/>
  <w:drawingGridVerticalSpacing w:val="31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A6"/>
    <w:rsid w:val="00002E24"/>
    <w:rsid w:val="00006B02"/>
    <w:rsid w:val="00011B42"/>
    <w:rsid w:val="00021706"/>
    <w:rsid w:val="00024A0E"/>
    <w:rsid w:val="000347D1"/>
    <w:rsid w:val="00034995"/>
    <w:rsid w:val="00041035"/>
    <w:rsid w:val="00041502"/>
    <w:rsid w:val="00042A0B"/>
    <w:rsid w:val="00043AC0"/>
    <w:rsid w:val="00044AB3"/>
    <w:rsid w:val="00047F8C"/>
    <w:rsid w:val="0005539A"/>
    <w:rsid w:val="00056BFE"/>
    <w:rsid w:val="00061688"/>
    <w:rsid w:val="000631A2"/>
    <w:rsid w:val="00066D1A"/>
    <w:rsid w:val="00067EEB"/>
    <w:rsid w:val="0007056A"/>
    <w:rsid w:val="00072440"/>
    <w:rsid w:val="00077622"/>
    <w:rsid w:val="000800F7"/>
    <w:rsid w:val="000829F3"/>
    <w:rsid w:val="00083C96"/>
    <w:rsid w:val="0008611F"/>
    <w:rsid w:val="0008654B"/>
    <w:rsid w:val="00091461"/>
    <w:rsid w:val="00091E4F"/>
    <w:rsid w:val="00094583"/>
    <w:rsid w:val="00094CD1"/>
    <w:rsid w:val="000A1FFA"/>
    <w:rsid w:val="000A79BA"/>
    <w:rsid w:val="000B490B"/>
    <w:rsid w:val="000B4F9E"/>
    <w:rsid w:val="000B688D"/>
    <w:rsid w:val="000C5496"/>
    <w:rsid w:val="000C55C4"/>
    <w:rsid w:val="000D09FF"/>
    <w:rsid w:val="000D488D"/>
    <w:rsid w:val="000D4F4A"/>
    <w:rsid w:val="000E1208"/>
    <w:rsid w:val="000E14A5"/>
    <w:rsid w:val="000E2410"/>
    <w:rsid w:val="000E32A1"/>
    <w:rsid w:val="000F241F"/>
    <w:rsid w:val="000F3C1B"/>
    <w:rsid w:val="000F3D83"/>
    <w:rsid w:val="00102A41"/>
    <w:rsid w:val="00104905"/>
    <w:rsid w:val="0010520E"/>
    <w:rsid w:val="00110060"/>
    <w:rsid w:val="001113A0"/>
    <w:rsid w:val="0011557A"/>
    <w:rsid w:val="00116845"/>
    <w:rsid w:val="00116E02"/>
    <w:rsid w:val="00120C99"/>
    <w:rsid w:val="00121B2E"/>
    <w:rsid w:val="00126A82"/>
    <w:rsid w:val="00126D91"/>
    <w:rsid w:val="00127D82"/>
    <w:rsid w:val="00134459"/>
    <w:rsid w:val="001357A9"/>
    <w:rsid w:val="00135CB1"/>
    <w:rsid w:val="0014133A"/>
    <w:rsid w:val="00145583"/>
    <w:rsid w:val="00150968"/>
    <w:rsid w:val="0015335A"/>
    <w:rsid w:val="00154DB1"/>
    <w:rsid w:val="00155129"/>
    <w:rsid w:val="00161334"/>
    <w:rsid w:val="00162842"/>
    <w:rsid w:val="0016430C"/>
    <w:rsid w:val="00164C0A"/>
    <w:rsid w:val="00166D0A"/>
    <w:rsid w:val="0017233A"/>
    <w:rsid w:val="001758C1"/>
    <w:rsid w:val="00175F31"/>
    <w:rsid w:val="00181290"/>
    <w:rsid w:val="00182B2E"/>
    <w:rsid w:val="0018582A"/>
    <w:rsid w:val="00186814"/>
    <w:rsid w:val="00187EF2"/>
    <w:rsid w:val="00191009"/>
    <w:rsid w:val="0019121D"/>
    <w:rsid w:val="00192EE3"/>
    <w:rsid w:val="00194DC1"/>
    <w:rsid w:val="0019762D"/>
    <w:rsid w:val="001A0280"/>
    <w:rsid w:val="001A0DB9"/>
    <w:rsid w:val="001A481B"/>
    <w:rsid w:val="001A5FC9"/>
    <w:rsid w:val="001A66A8"/>
    <w:rsid w:val="001B141E"/>
    <w:rsid w:val="001B4A1F"/>
    <w:rsid w:val="001C05F7"/>
    <w:rsid w:val="001D093A"/>
    <w:rsid w:val="001D1777"/>
    <w:rsid w:val="001D2A19"/>
    <w:rsid w:val="001D6AE7"/>
    <w:rsid w:val="001D6E61"/>
    <w:rsid w:val="001E3B05"/>
    <w:rsid w:val="001E6BA0"/>
    <w:rsid w:val="001E7414"/>
    <w:rsid w:val="001F076E"/>
    <w:rsid w:val="001F0835"/>
    <w:rsid w:val="001F2426"/>
    <w:rsid w:val="001F5AF8"/>
    <w:rsid w:val="001F76DF"/>
    <w:rsid w:val="00202345"/>
    <w:rsid w:val="00202F4A"/>
    <w:rsid w:val="002076C0"/>
    <w:rsid w:val="0020792C"/>
    <w:rsid w:val="002105E0"/>
    <w:rsid w:val="00211382"/>
    <w:rsid w:val="002117E9"/>
    <w:rsid w:val="00212030"/>
    <w:rsid w:val="00212614"/>
    <w:rsid w:val="00213A59"/>
    <w:rsid w:val="00213CC8"/>
    <w:rsid w:val="002152C6"/>
    <w:rsid w:val="0022285B"/>
    <w:rsid w:val="00223345"/>
    <w:rsid w:val="002244F7"/>
    <w:rsid w:val="00225809"/>
    <w:rsid w:val="00230DA9"/>
    <w:rsid w:val="0023247D"/>
    <w:rsid w:val="002326D4"/>
    <w:rsid w:val="00233866"/>
    <w:rsid w:val="00234FEE"/>
    <w:rsid w:val="00235017"/>
    <w:rsid w:val="002355C5"/>
    <w:rsid w:val="00236679"/>
    <w:rsid w:val="0024079B"/>
    <w:rsid w:val="002431D1"/>
    <w:rsid w:val="002452F3"/>
    <w:rsid w:val="00245A67"/>
    <w:rsid w:val="00251ABF"/>
    <w:rsid w:val="00251DD1"/>
    <w:rsid w:val="00262C13"/>
    <w:rsid w:val="00264EAE"/>
    <w:rsid w:val="0026552A"/>
    <w:rsid w:val="002655D1"/>
    <w:rsid w:val="002666F3"/>
    <w:rsid w:val="00266EDD"/>
    <w:rsid w:val="0026758D"/>
    <w:rsid w:val="00267655"/>
    <w:rsid w:val="00267902"/>
    <w:rsid w:val="00270527"/>
    <w:rsid w:val="00272C2C"/>
    <w:rsid w:val="002737AC"/>
    <w:rsid w:val="00275F4D"/>
    <w:rsid w:val="00281CDC"/>
    <w:rsid w:val="0028471B"/>
    <w:rsid w:val="002850E0"/>
    <w:rsid w:val="00286FA6"/>
    <w:rsid w:val="00293687"/>
    <w:rsid w:val="00293881"/>
    <w:rsid w:val="002942FF"/>
    <w:rsid w:val="00294BC9"/>
    <w:rsid w:val="002A0D8E"/>
    <w:rsid w:val="002A2300"/>
    <w:rsid w:val="002A3C51"/>
    <w:rsid w:val="002A43E6"/>
    <w:rsid w:val="002B1B63"/>
    <w:rsid w:val="002B63AE"/>
    <w:rsid w:val="002B6B9B"/>
    <w:rsid w:val="002C0DA8"/>
    <w:rsid w:val="002C1F60"/>
    <w:rsid w:val="002C5809"/>
    <w:rsid w:val="002D39ED"/>
    <w:rsid w:val="002E1D60"/>
    <w:rsid w:val="002E1F5F"/>
    <w:rsid w:val="002E50D5"/>
    <w:rsid w:val="002E7AD6"/>
    <w:rsid w:val="002F094D"/>
    <w:rsid w:val="002F158D"/>
    <w:rsid w:val="002F229C"/>
    <w:rsid w:val="002F2DFE"/>
    <w:rsid w:val="00301EC5"/>
    <w:rsid w:val="00302139"/>
    <w:rsid w:val="00302D79"/>
    <w:rsid w:val="00303989"/>
    <w:rsid w:val="003135D5"/>
    <w:rsid w:val="003259E1"/>
    <w:rsid w:val="00325A10"/>
    <w:rsid w:val="003356BB"/>
    <w:rsid w:val="00340A9C"/>
    <w:rsid w:val="00340FCE"/>
    <w:rsid w:val="00341B43"/>
    <w:rsid w:val="00346351"/>
    <w:rsid w:val="00350D3F"/>
    <w:rsid w:val="0035405F"/>
    <w:rsid w:val="0035798F"/>
    <w:rsid w:val="003614DB"/>
    <w:rsid w:val="0036310A"/>
    <w:rsid w:val="00363AAE"/>
    <w:rsid w:val="00363C89"/>
    <w:rsid w:val="00364808"/>
    <w:rsid w:val="00364BCF"/>
    <w:rsid w:val="003723F5"/>
    <w:rsid w:val="003859E2"/>
    <w:rsid w:val="00387FC5"/>
    <w:rsid w:val="003910E1"/>
    <w:rsid w:val="00391E04"/>
    <w:rsid w:val="003921CF"/>
    <w:rsid w:val="003930C9"/>
    <w:rsid w:val="003952D3"/>
    <w:rsid w:val="003A4B3F"/>
    <w:rsid w:val="003A5D08"/>
    <w:rsid w:val="003A7C92"/>
    <w:rsid w:val="003A7FF7"/>
    <w:rsid w:val="003C407F"/>
    <w:rsid w:val="003C4E2B"/>
    <w:rsid w:val="003C6D9C"/>
    <w:rsid w:val="003D151B"/>
    <w:rsid w:val="003E431A"/>
    <w:rsid w:val="003E6371"/>
    <w:rsid w:val="003F0759"/>
    <w:rsid w:val="003F1B5C"/>
    <w:rsid w:val="003F2D2E"/>
    <w:rsid w:val="00402C13"/>
    <w:rsid w:val="004056AF"/>
    <w:rsid w:val="00406FF5"/>
    <w:rsid w:val="004072E0"/>
    <w:rsid w:val="00411659"/>
    <w:rsid w:val="00412726"/>
    <w:rsid w:val="00413F6E"/>
    <w:rsid w:val="00415150"/>
    <w:rsid w:val="004161B6"/>
    <w:rsid w:val="004300BB"/>
    <w:rsid w:val="00435543"/>
    <w:rsid w:val="00443311"/>
    <w:rsid w:val="0044351C"/>
    <w:rsid w:val="00443750"/>
    <w:rsid w:val="004453FC"/>
    <w:rsid w:val="00451E12"/>
    <w:rsid w:val="004569C4"/>
    <w:rsid w:val="004572F2"/>
    <w:rsid w:val="0046155C"/>
    <w:rsid w:val="00462684"/>
    <w:rsid w:val="00464478"/>
    <w:rsid w:val="00466369"/>
    <w:rsid w:val="0046758F"/>
    <w:rsid w:val="00471178"/>
    <w:rsid w:val="00471AB4"/>
    <w:rsid w:val="004734AD"/>
    <w:rsid w:val="00475DA3"/>
    <w:rsid w:val="004921D7"/>
    <w:rsid w:val="00492E71"/>
    <w:rsid w:val="0049379B"/>
    <w:rsid w:val="00493B48"/>
    <w:rsid w:val="00493F52"/>
    <w:rsid w:val="00494D50"/>
    <w:rsid w:val="0049638F"/>
    <w:rsid w:val="00496BA0"/>
    <w:rsid w:val="00496DB0"/>
    <w:rsid w:val="00497CF1"/>
    <w:rsid w:val="004A2498"/>
    <w:rsid w:val="004A2EE1"/>
    <w:rsid w:val="004A327B"/>
    <w:rsid w:val="004A5CA2"/>
    <w:rsid w:val="004B0FE2"/>
    <w:rsid w:val="004B18E8"/>
    <w:rsid w:val="004B745D"/>
    <w:rsid w:val="004C0D9D"/>
    <w:rsid w:val="004C32E2"/>
    <w:rsid w:val="004D0A36"/>
    <w:rsid w:val="004D1EFE"/>
    <w:rsid w:val="004D2A9A"/>
    <w:rsid w:val="004D490E"/>
    <w:rsid w:val="004D493C"/>
    <w:rsid w:val="004D53FA"/>
    <w:rsid w:val="004E2E86"/>
    <w:rsid w:val="004E47D6"/>
    <w:rsid w:val="004E72E7"/>
    <w:rsid w:val="004F28F6"/>
    <w:rsid w:val="004F4193"/>
    <w:rsid w:val="004F4D26"/>
    <w:rsid w:val="0050020E"/>
    <w:rsid w:val="00504968"/>
    <w:rsid w:val="00512BDC"/>
    <w:rsid w:val="0051604B"/>
    <w:rsid w:val="00524287"/>
    <w:rsid w:val="00525B5A"/>
    <w:rsid w:val="0053096A"/>
    <w:rsid w:val="00530CA9"/>
    <w:rsid w:val="005329B8"/>
    <w:rsid w:val="00532FAB"/>
    <w:rsid w:val="005369F8"/>
    <w:rsid w:val="00542E5C"/>
    <w:rsid w:val="00545793"/>
    <w:rsid w:val="00550221"/>
    <w:rsid w:val="00550D04"/>
    <w:rsid w:val="0055346B"/>
    <w:rsid w:val="005553E0"/>
    <w:rsid w:val="00555F77"/>
    <w:rsid w:val="00556350"/>
    <w:rsid w:val="0056075E"/>
    <w:rsid w:val="00561365"/>
    <w:rsid w:val="00562F3F"/>
    <w:rsid w:val="005660D0"/>
    <w:rsid w:val="00566787"/>
    <w:rsid w:val="00571245"/>
    <w:rsid w:val="00571E38"/>
    <w:rsid w:val="005722A7"/>
    <w:rsid w:val="005763C3"/>
    <w:rsid w:val="00582287"/>
    <w:rsid w:val="00586679"/>
    <w:rsid w:val="00586DB9"/>
    <w:rsid w:val="00587B24"/>
    <w:rsid w:val="00587CC5"/>
    <w:rsid w:val="00591DA6"/>
    <w:rsid w:val="00592683"/>
    <w:rsid w:val="005970A6"/>
    <w:rsid w:val="005975B9"/>
    <w:rsid w:val="005A0430"/>
    <w:rsid w:val="005A059F"/>
    <w:rsid w:val="005A2356"/>
    <w:rsid w:val="005A46D6"/>
    <w:rsid w:val="005A52E4"/>
    <w:rsid w:val="005A70FE"/>
    <w:rsid w:val="005B34B3"/>
    <w:rsid w:val="005B41F0"/>
    <w:rsid w:val="005B4786"/>
    <w:rsid w:val="005B6C19"/>
    <w:rsid w:val="005B71D0"/>
    <w:rsid w:val="005C1BB1"/>
    <w:rsid w:val="005D387E"/>
    <w:rsid w:val="005D4903"/>
    <w:rsid w:val="005E0A75"/>
    <w:rsid w:val="005F15E3"/>
    <w:rsid w:val="0060125F"/>
    <w:rsid w:val="006111F9"/>
    <w:rsid w:val="006213AD"/>
    <w:rsid w:val="00624D65"/>
    <w:rsid w:val="006252D6"/>
    <w:rsid w:val="0063185D"/>
    <w:rsid w:val="00633FA9"/>
    <w:rsid w:val="006350D0"/>
    <w:rsid w:val="00640A6C"/>
    <w:rsid w:val="00644B41"/>
    <w:rsid w:val="00646196"/>
    <w:rsid w:val="0065187E"/>
    <w:rsid w:val="006527A3"/>
    <w:rsid w:val="00655D4A"/>
    <w:rsid w:val="006603ED"/>
    <w:rsid w:val="006632F5"/>
    <w:rsid w:val="00664F67"/>
    <w:rsid w:val="0066528D"/>
    <w:rsid w:val="0067076C"/>
    <w:rsid w:val="00671546"/>
    <w:rsid w:val="00674C5E"/>
    <w:rsid w:val="006751EA"/>
    <w:rsid w:val="00675FCA"/>
    <w:rsid w:val="0067634D"/>
    <w:rsid w:val="0068006D"/>
    <w:rsid w:val="006805EA"/>
    <w:rsid w:val="00682BD5"/>
    <w:rsid w:val="00696A5E"/>
    <w:rsid w:val="006B2D3F"/>
    <w:rsid w:val="006B30F8"/>
    <w:rsid w:val="006B4448"/>
    <w:rsid w:val="006B5354"/>
    <w:rsid w:val="006B6E5C"/>
    <w:rsid w:val="006C260C"/>
    <w:rsid w:val="006C2698"/>
    <w:rsid w:val="006C5BB7"/>
    <w:rsid w:val="006D09C6"/>
    <w:rsid w:val="006D0F23"/>
    <w:rsid w:val="006D4C1A"/>
    <w:rsid w:val="006D68BE"/>
    <w:rsid w:val="006E0819"/>
    <w:rsid w:val="006E09EA"/>
    <w:rsid w:val="006E1698"/>
    <w:rsid w:val="006E17F5"/>
    <w:rsid w:val="006E1F1D"/>
    <w:rsid w:val="006E6981"/>
    <w:rsid w:val="006E6DBC"/>
    <w:rsid w:val="006E743D"/>
    <w:rsid w:val="006E7E29"/>
    <w:rsid w:val="006F25E4"/>
    <w:rsid w:val="006F4093"/>
    <w:rsid w:val="006F461F"/>
    <w:rsid w:val="006F4799"/>
    <w:rsid w:val="006F6963"/>
    <w:rsid w:val="00701D8D"/>
    <w:rsid w:val="00703E74"/>
    <w:rsid w:val="007070DA"/>
    <w:rsid w:val="00710008"/>
    <w:rsid w:val="00713C5F"/>
    <w:rsid w:val="00716296"/>
    <w:rsid w:val="00717078"/>
    <w:rsid w:val="00717918"/>
    <w:rsid w:val="00717D52"/>
    <w:rsid w:val="00721216"/>
    <w:rsid w:val="0072124A"/>
    <w:rsid w:val="0072269C"/>
    <w:rsid w:val="00723B7D"/>
    <w:rsid w:val="00723E1D"/>
    <w:rsid w:val="00724BAF"/>
    <w:rsid w:val="007251CE"/>
    <w:rsid w:val="00725D0D"/>
    <w:rsid w:val="0072648B"/>
    <w:rsid w:val="00727FC1"/>
    <w:rsid w:val="00730EB7"/>
    <w:rsid w:val="00734CED"/>
    <w:rsid w:val="00735DFA"/>
    <w:rsid w:val="007430CA"/>
    <w:rsid w:val="0074334D"/>
    <w:rsid w:val="007527BF"/>
    <w:rsid w:val="00753116"/>
    <w:rsid w:val="00756D32"/>
    <w:rsid w:val="0076184F"/>
    <w:rsid w:val="00763931"/>
    <w:rsid w:val="00766E8F"/>
    <w:rsid w:val="00767391"/>
    <w:rsid w:val="007729FD"/>
    <w:rsid w:val="00773FCE"/>
    <w:rsid w:val="00775D0F"/>
    <w:rsid w:val="007821FD"/>
    <w:rsid w:val="0078247D"/>
    <w:rsid w:val="00785604"/>
    <w:rsid w:val="007912A3"/>
    <w:rsid w:val="0079454B"/>
    <w:rsid w:val="00796D7F"/>
    <w:rsid w:val="00797B66"/>
    <w:rsid w:val="007A0746"/>
    <w:rsid w:val="007A0FE7"/>
    <w:rsid w:val="007A300E"/>
    <w:rsid w:val="007A3475"/>
    <w:rsid w:val="007A6665"/>
    <w:rsid w:val="007B4D69"/>
    <w:rsid w:val="007C17F5"/>
    <w:rsid w:val="007C6F3C"/>
    <w:rsid w:val="007C76D2"/>
    <w:rsid w:val="007C7F12"/>
    <w:rsid w:val="007D515F"/>
    <w:rsid w:val="007D5F22"/>
    <w:rsid w:val="007D7121"/>
    <w:rsid w:val="007D73C6"/>
    <w:rsid w:val="007E35EC"/>
    <w:rsid w:val="007E3D20"/>
    <w:rsid w:val="007E750E"/>
    <w:rsid w:val="007F3C54"/>
    <w:rsid w:val="008117D8"/>
    <w:rsid w:val="008119EF"/>
    <w:rsid w:val="00811AD7"/>
    <w:rsid w:val="008134D2"/>
    <w:rsid w:val="00815724"/>
    <w:rsid w:val="00817254"/>
    <w:rsid w:val="00817E4F"/>
    <w:rsid w:val="00820448"/>
    <w:rsid w:val="008206C5"/>
    <w:rsid w:val="00822DB6"/>
    <w:rsid w:val="00825DE6"/>
    <w:rsid w:val="0083145C"/>
    <w:rsid w:val="00834B05"/>
    <w:rsid w:val="00835B85"/>
    <w:rsid w:val="008360C0"/>
    <w:rsid w:val="008413D1"/>
    <w:rsid w:val="0084183A"/>
    <w:rsid w:val="00842C7A"/>
    <w:rsid w:val="0084381C"/>
    <w:rsid w:val="00847D56"/>
    <w:rsid w:val="00852944"/>
    <w:rsid w:val="00855EC9"/>
    <w:rsid w:val="0085672B"/>
    <w:rsid w:val="0085755C"/>
    <w:rsid w:val="00863FDA"/>
    <w:rsid w:val="00874EA2"/>
    <w:rsid w:val="00876B3E"/>
    <w:rsid w:val="008818B2"/>
    <w:rsid w:val="00882E2E"/>
    <w:rsid w:val="00883F86"/>
    <w:rsid w:val="0088459F"/>
    <w:rsid w:val="00887808"/>
    <w:rsid w:val="00890B20"/>
    <w:rsid w:val="00893001"/>
    <w:rsid w:val="00895842"/>
    <w:rsid w:val="00896CB7"/>
    <w:rsid w:val="008A3AC1"/>
    <w:rsid w:val="008A5842"/>
    <w:rsid w:val="008B183A"/>
    <w:rsid w:val="008B1CDA"/>
    <w:rsid w:val="008B23E4"/>
    <w:rsid w:val="008B377E"/>
    <w:rsid w:val="008B4416"/>
    <w:rsid w:val="008B4BB2"/>
    <w:rsid w:val="008B56FC"/>
    <w:rsid w:val="008B7D4F"/>
    <w:rsid w:val="008C16EB"/>
    <w:rsid w:val="008C2625"/>
    <w:rsid w:val="008C2ABF"/>
    <w:rsid w:val="008C2E21"/>
    <w:rsid w:val="008C2E53"/>
    <w:rsid w:val="008C35CC"/>
    <w:rsid w:val="008C3E0E"/>
    <w:rsid w:val="008D032D"/>
    <w:rsid w:val="008D0342"/>
    <w:rsid w:val="008D1217"/>
    <w:rsid w:val="008D73F7"/>
    <w:rsid w:val="008E0F6B"/>
    <w:rsid w:val="008E4A44"/>
    <w:rsid w:val="008E6F2F"/>
    <w:rsid w:val="008F0579"/>
    <w:rsid w:val="008F060B"/>
    <w:rsid w:val="008F14A3"/>
    <w:rsid w:val="008F36D1"/>
    <w:rsid w:val="008F4DA8"/>
    <w:rsid w:val="009046DA"/>
    <w:rsid w:val="00910A58"/>
    <w:rsid w:val="00910B59"/>
    <w:rsid w:val="009117FD"/>
    <w:rsid w:val="00912DBF"/>
    <w:rsid w:val="00913F56"/>
    <w:rsid w:val="009204AD"/>
    <w:rsid w:val="00921355"/>
    <w:rsid w:val="009226CE"/>
    <w:rsid w:val="00922A36"/>
    <w:rsid w:val="00935650"/>
    <w:rsid w:val="00950B11"/>
    <w:rsid w:val="00960118"/>
    <w:rsid w:val="00967D27"/>
    <w:rsid w:val="00977FB5"/>
    <w:rsid w:val="0098211F"/>
    <w:rsid w:val="009849A0"/>
    <w:rsid w:val="00986759"/>
    <w:rsid w:val="00991532"/>
    <w:rsid w:val="00992E5A"/>
    <w:rsid w:val="00997282"/>
    <w:rsid w:val="009A0E7F"/>
    <w:rsid w:val="009A26FD"/>
    <w:rsid w:val="009A270C"/>
    <w:rsid w:val="009A2861"/>
    <w:rsid w:val="009A4A43"/>
    <w:rsid w:val="009A4E47"/>
    <w:rsid w:val="009A54F4"/>
    <w:rsid w:val="009B0F34"/>
    <w:rsid w:val="009B4FF3"/>
    <w:rsid w:val="009C379E"/>
    <w:rsid w:val="009C3DD2"/>
    <w:rsid w:val="009D2A3E"/>
    <w:rsid w:val="009D2A9B"/>
    <w:rsid w:val="009D2C8A"/>
    <w:rsid w:val="009D4315"/>
    <w:rsid w:val="009D4736"/>
    <w:rsid w:val="009D4DB2"/>
    <w:rsid w:val="009D53E2"/>
    <w:rsid w:val="009D5813"/>
    <w:rsid w:val="009D5DFB"/>
    <w:rsid w:val="009D5F3A"/>
    <w:rsid w:val="009D6688"/>
    <w:rsid w:val="009E5C27"/>
    <w:rsid w:val="009E7FBF"/>
    <w:rsid w:val="009F3559"/>
    <w:rsid w:val="009F35ED"/>
    <w:rsid w:val="009F4DB4"/>
    <w:rsid w:val="009F6A14"/>
    <w:rsid w:val="00A04E3E"/>
    <w:rsid w:val="00A10146"/>
    <w:rsid w:val="00A14EDD"/>
    <w:rsid w:val="00A16C8F"/>
    <w:rsid w:val="00A1718C"/>
    <w:rsid w:val="00A17E67"/>
    <w:rsid w:val="00A22DCB"/>
    <w:rsid w:val="00A23441"/>
    <w:rsid w:val="00A242A2"/>
    <w:rsid w:val="00A25879"/>
    <w:rsid w:val="00A3456F"/>
    <w:rsid w:val="00A4686F"/>
    <w:rsid w:val="00A524D1"/>
    <w:rsid w:val="00A56EC7"/>
    <w:rsid w:val="00A611AA"/>
    <w:rsid w:val="00A649BB"/>
    <w:rsid w:val="00A65177"/>
    <w:rsid w:val="00A65C52"/>
    <w:rsid w:val="00A67111"/>
    <w:rsid w:val="00A70963"/>
    <w:rsid w:val="00A73BF4"/>
    <w:rsid w:val="00A75DA0"/>
    <w:rsid w:val="00A76BEB"/>
    <w:rsid w:val="00A81A53"/>
    <w:rsid w:val="00A830CB"/>
    <w:rsid w:val="00A9171C"/>
    <w:rsid w:val="00A95A23"/>
    <w:rsid w:val="00AA1BC4"/>
    <w:rsid w:val="00AA56D4"/>
    <w:rsid w:val="00AA5865"/>
    <w:rsid w:val="00AA5D05"/>
    <w:rsid w:val="00AB19FC"/>
    <w:rsid w:val="00AB3E7D"/>
    <w:rsid w:val="00AC012D"/>
    <w:rsid w:val="00AC0428"/>
    <w:rsid w:val="00AC0853"/>
    <w:rsid w:val="00AC4604"/>
    <w:rsid w:val="00AC4A10"/>
    <w:rsid w:val="00AC5FC7"/>
    <w:rsid w:val="00AD1DC6"/>
    <w:rsid w:val="00AD6D8C"/>
    <w:rsid w:val="00AE0167"/>
    <w:rsid w:val="00AE0440"/>
    <w:rsid w:val="00AE0648"/>
    <w:rsid w:val="00AE1270"/>
    <w:rsid w:val="00AE6141"/>
    <w:rsid w:val="00AF383D"/>
    <w:rsid w:val="00AF5E57"/>
    <w:rsid w:val="00AF7949"/>
    <w:rsid w:val="00B01E5A"/>
    <w:rsid w:val="00B02653"/>
    <w:rsid w:val="00B122A0"/>
    <w:rsid w:val="00B12A3D"/>
    <w:rsid w:val="00B13598"/>
    <w:rsid w:val="00B1451B"/>
    <w:rsid w:val="00B14B22"/>
    <w:rsid w:val="00B14DE2"/>
    <w:rsid w:val="00B15324"/>
    <w:rsid w:val="00B17583"/>
    <w:rsid w:val="00B2366D"/>
    <w:rsid w:val="00B2427D"/>
    <w:rsid w:val="00B26412"/>
    <w:rsid w:val="00B26CC7"/>
    <w:rsid w:val="00B26CD7"/>
    <w:rsid w:val="00B3205B"/>
    <w:rsid w:val="00B36CAC"/>
    <w:rsid w:val="00B36D0F"/>
    <w:rsid w:val="00B438D0"/>
    <w:rsid w:val="00B452FC"/>
    <w:rsid w:val="00B5027E"/>
    <w:rsid w:val="00B51F06"/>
    <w:rsid w:val="00B53602"/>
    <w:rsid w:val="00B53ADF"/>
    <w:rsid w:val="00B53FFF"/>
    <w:rsid w:val="00B546BC"/>
    <w:rsid w:val="00B54E8E"/>
    <w:rsid w:val="00B56D43"/>
    <w:rsid w:val="00B600C6"/>
    <w:rsid w:val="00B60898"/>
    <w:rsid w:val="00B6326B"/>
    <w:rsid w:val="00B65FEA"/>
    <w:rsid w:val="00B716F1"/>
    <w:rsid w:val="00B71A32"/>
    <w:rsid w:val="00B73948"/>
    <w:rsid w:val="00B75264"/>
    <w:rsid w:val="00B81068"/>
    <w:rsid w:val="00B81BE7"/>
    <w:rsid w:val="00B82264"/>
    <w:rsid w:val="00B82472"/>
    <w:rsid w:val="00B84604"/>
    <w:rsid w:val="00B901F1"/>
    <w:rsid w:val="00B93E4D"/>
    <w:rsid w:val="00B94C9E"/>
    <w:rsid w:val="00B9716A"/>
    <w:rsid w:val="00BA3754"/>
    <w:rsid w:val="00BA7114"/>
    <w:rsid w:val="00BB1AD4"/>
    <w:rsid w:val="00BB41B0"/>
    <w:rsid w:val="00BB5E24"/>
    <w:rsid w:val="00BB6966"/>
    <w:rsid w:val="00BB6E29"/>
    <w:rsid w:val="00BB701D"/>
    <w:rsid w:val="00BB745A"/>
    <w:rsid w:val="00BC16DD"/>
    <w:rsid w:val="00BC4F00"/>
    <w:rsid w:val="00BC70B1"/>
    <w:rsid w:val="00BD04A8"/>
    <w:rsid w:val="00BD5CF4"/>
    <w:rsid w:val="00BE1555"/>
    <w:rsid w:val="00BE45F6"/>
    <w:rsid w:val="00BE6788"/>
    <w:rsid w:val="00BF0440"/>
    <w:rsid w:val="00BF2909"/>
    <w:rsid w:val="00BF5442"/>
    <w:rsid w:val="00BF5B01"/>
    <w:rsid w:val="00BF6B50"/>
    <w:rsid w:val="00BF6B8F"/>
    <w:rsid w:val="00BF6D0B"/>
    <w:rsid w:val="00BF72B0"/>
    <w:rsid w:val="00BF7512"/>
    <w:rsid w:val="00C005BB"/>
    <w:rsid w:val="00C01131"/>
    <w:rsid w:val="00C048D5"/>
    <w:rsid w:val="00C07640"/>
    <w:rsid w:val="00C12B90"/>
    <w:rsid w:val="00C2045E"/>
    <w:rsid w:val="00C20B2D"/>
    <w:rsid w:val="00C2155C"/>
    <w:rsid w:val="00C216AC"/>
    <w:rsid w:val="00C233CF"/>
    <w:rsid w:val="00C257E9"/>
    <w:rsid w:val="00C3065E"/>
    <w:rsid w:val="00C31813"/>
    <w:rsid w:val="00C3382A"/>
    <w:rsid w:val="00C3787F"/>
    <w:rsid w:val="00C37F39"/>
    <w:rsid w:val="00C411E5"/>
    <w:rsid w:val="00C42E0C"/>
    <w:rsid w:val="00C42FD4"/>
    <w:rsid w:val="00C439E9"/>
    <w:rsid w:val="00C4614C"/>
    <w:rsid w:val="00C4726D"/>
    <w:rsid w:val="00C47FEC"/>
    <w:rsid w:val="00C541B8"/>
    <w:rsid w:val="00C56E67"/>
    <w:rsid w:val="00C60A2A"/>
    <w:rsid w:val="00C6192B"/>
    <w:rsid w:val="00C644F9"/>
    <w:rsid w:val="00C67CC4"/>
    <w:rsid w:val="00C70FC4"/>
    <w:rsid w:val="00C71B6B"/>
    <w:rsid w:val="00C77D82"/>
    <w:rsid w:val="00C95CFD"/>
    <w:rsid w:val="00C9766F"/>
    <w:rsid w:val="00CA0D08"/>
    <w:rsid w:val="00CA0EED"/>
    <w:rsid w:val="00CA1249"/>
    <w:rsid w:val="00CA40B5"/>
    <w:rsid w:val="00CA76CC"/>
    <w:rsid w:val="00CB4219"/>
    <w:rsid w:val="00CB63D8"/>
    <w:rsid w:val="00CB7549"/>
    <w:rsid w:val="00CC74B0"/>
    <w:rsid w:val="00CD5F80"/>
    <w:rsid w:val="00CD7D07"/>
    <w:rsid w:val="00CE5BEB"/>
    <w:rsid w:val="00CF3106"/>
    <w:rsid w:val="00CF5B39"/>
    <w:rsid w:val="00CF6C98"/>
    <w:rsid w:val="00CF708A"/>
    <w:rsid w:val="00D0186D"/>
    <w:rsid w:val="00D062F4"/>
    <w:rsid w:val="00D069EB"/>
    <w:rsid w:val="00D076CB"/>
    <w:rsid w:val="00D10AA8"/>
    <w:rsid w:val="00D12656"/>
    <w:rsid w:val="00D13CDF"/>
    <w:rsid w:val="00D14CB7"/>
    <w:rsid w:val="00D1635C"/>
    <w:rsid w:val="00D176E4"/>
    <w:rsid w:val="00D21B8D"/>
    <w:rsid w:val="00D22367"/>
    <w:rsid w:val="00D27C30"/>
    <w:rsid w:val="00D3197B"/>
    <w:rsid w:val="00D32010"/>
    <w:rsid w:val="00D33990"/>
    <w:rsid w:val="00D3787E"/>
    <w:rsid w:val="00D416DF"/>
    <w:rsid w:val="00D55208"/>
    <w:rsid w:val="00D56C57"/>
    <w:rsid w:val="00D610A8"/>
    <w:rsid w:val="00D6212F"/>
    <w:rsid w:val="00D621D7"/>
    <w:rsid w:val="00D72D3B"/>
    <w:rsid w:val="00D7339F"/>
    <w:rsid w:val="00D80E3E"/>
    <w:rsid w:val="00D851AA"/>
    <w:rsid w:val="00D85FCF"/>
    <w:rsid w:val="00D92B5C"/>
    <w:rsid w:val="00D9312B"/>
    <w:rsid w:val="00D948BF"/>
    <w:rsid w:val="00D968A6"/>
    <w:rsid w:val="00DA0D66"/>
    <w:rsid w:val="00DA34E5"/>
    <w:rsid w:val="00DA3AA3"/>
    <w:rsid w:val="00DB0DD0"/>
    <w:rsid w:val="00DB16BC"/>
    <w:rsid w:val="00DB1ADD"/>
    <w:rsid w:val="00DB1B94"/>
    <w:rsid w:val="00DB29D7"/>
    <w:rsid w:val="00DC08FA"/>
    <w:rsid w:val="00DC265F"/>
    <w:rsid w:val="00DC548C"/>
    <w:rsid w:val="00DD407A"/>
    <w:rsid w:val="00DD65A1"/>
    <w:rsid w:val="00DD68F6"/>
    <w:rsid w:val="00DE2CD6"/>
    <w:rsid w:val="00DE3E9D"/>
    <w:rsid w:val="00DF3227"/>
    <w:rsid w:val="00DF38A0"/>
    <w:rsid w:val="00DF747C"/>
    <w:rsid w:val="00E05A2E"/>
    <w:rsid w:val="00E07366"/>
    <w:rsid w:val="00E1027F"/>
    <w:rsid w:val="00E10D7E"/>
    <w:rsid w:val="00E12FF2"/>
    <w:rsid w:val="00E14B74"/>
    <w:rsid w:val="00E14EB8"/>
    <w:rsid w:val="00E16882"/>
    <w:rsid w:val="00E17E15"/>
    <w:rsid w:val="00E23EB8"/>
    <w:rsid w:val="00E247DA"/>
    <w:rsid w:val="00E24B4B"/>
    <w:rsid w:val="00E259F4"/>
    <w:rsid w:val="00E26595"/>
    <w:rsid w:val="00E3041D"/>
    <w:rsid w:val="00E3371A"/>
    <w:rsid w:val="00E355A3"/>
    <w:rsid w:val="00E36C49"/>
    <w:rsid w:val="00E37CD9"/>
    <w:rsid w:val="00E41749"/>
    <w:rsid w:val="00E4355E"/>
    <w:rsid w:val="00E43738"/>
    <w:rsid w:val="00E441D4"/>
    <w:rsid w:val="00E44DD9"/>
    <w:rsid w:val="00E50529"/>
    <w:rsid w:val="00E50C8D"/>
    <w:rsid w:val="00E53E58"/>
    <w:rsid w:val="00E56AAD"/>
    <w:rsid w:val="00E572C0"/>
    <w:rsid w:val="00E64173"/>
    <w:rsid w:val="00E67AA5"/>
    <w:rsid w:val="00E718F2"/>
    <w:rsid w:val="00E74AF2"/>
    <w:rsid w:val="00E76323"/>
    <w:rsid w:val="00E77A2C"/>
    <w:rsid w:val="00E83109"/>
    <w:rsid w:val="00E931A8"/>
    <w:rsid w:val="00EA0C56"/>
    <w:rsid w:val="00EA2EE4"/>
    <w:rsid w:val="00EA3F0E"/>
    <w:rsid w:val="00EA742D"/>
    <w:rsid w:val="00EA7DE3"/>
    <w:rsid w:val="00EB0485"/>
    <w:rsid w:val="00EB119F"/>
    <w:rsid w:val="00EB27D0"/>
    <w:rsid w:val="00EB368F"/>
    <w:rsid w:val="00EB5E8C"/>
    <w:rsid w:val="00EC11D8"/>
    <w:rsid w:val="00EC43A6"/>
    <w:rsid w:val="00EC6A0E"/>
    <w:rsid w:val="00EC7904"/>
    <w:rsid w:val="00ED1A0B"/>
    <w:rsid w:val="00ED6C63"/>
    <w:rsid w:val="00EE4859"/>
    <w:rsid w:val="00EE4D48"/>
    <w:rsid w:val="00EE6399"/>
    <w:rsid w:val="00EE7F42"/>
    <w:rsid w:val="00EF0D50"/>
    <w:rsid w:val="00EF11AC"/>
    <w:rsid w:val="00EF1705"/>
    <w:rsid w:val="00EF23AE"/>
    <w:rsid w:val="00EF7A79"/>
    <w:rsid w:val="00F00FCA"/>
    <w:rsid w:val="00F019E7"/>
    <w:rsid w:val="00F03755"/>
    <w:rsid w:val="00F04DF9"/>
    <w:rsid w:val="00F0621F"/>
    <w:rsid w:val="00F10FDF"/>
    <w:rsid w:val="00F11D53"/>
    <w:rsid w:val="00F120E4"/>
    <w:rsid w:val="00F13CB8"/>
    <w:rsid w:val="00F146F3"/>
    <w:rsid w:val="00F15227"/>
    <w:rsid w:val="00F2241F"/>
    <w:rsid w:val="00F24472"/>
    <w:rsid w:val="00F24DA9"/>
    <w:rsid w:val="00F30657"/>
    <w:rsid w:val="00F31607"/>
    <w:rsid w:val="00F33762"/>
    <w:rsid w:val="00F337B6"/>
    <w:rsid w:val="00F402BE"/>
    <w:rsid w:val="00F403B6"/>
    <w:rsid w:val="00F45C64"/>
    <w:rsid w:val="00F50AFF"/>
    <w:rsid w:val="00F51076"/>
    <w:rsid w:val="00F52409"/>
    <w:rsid w:val="00F53DBC"/>
    <w:rsid w:val="00F63CEB"/>
    <w:rsid w:val="00F650E9"/>
    <w:rsid w:val="00F72ED5"/>
    <w:rsid w:val="00F73723"/>
    <w:rsid w:val="00F754A6"/>
    <w:rsid w:val="00F806D3"/>
    <w:rsid w:val="00F82AD4"/>
    <w:rsid w:val="00F864C6"/>
    <w:rsid w:val="00F90D64"/>
    <w:rsid w:val="00F924B7"/>
    <w:rsid w:val="00F9288E"/>
    <w:rsid w:val="00F935EE"/>
    <w:rsid w:val="00F96014"/>
    <w:rsid w:val="00F96346"/>
    <w:rsid w:val="00FA5D00"/>
    <w:rsid w:val="00FB295E"/>
    <w:rsid w:val="00FB346E"/>
    <w:rsid w:val="00FB4D62"/>
    <w:rsid w:val="00FB6095"/>
    <w:rsid w:val="00FC2193"/>
    <w:rsid w:val="00FC341F"/>
    <w:rsid w:val="00FC3841"/>
    <w:rsid w:val="00FC4644"/>
    <w:rsid w:val="00FD19CE"/>
    <w:rsid w:val="00FD2FFD"/>
    <w:rsid w:val="00FD37B7"/>
    <w:rsid w:val="00FE38F3"/>
    <w:rsid w:val="00FE5869"/>
    <w:rsid w:val="00FF1073"/>
    <w:rsid w:val="00FF2B44"/>
    <w:rsid w:val="00FF2F59"/>
    <w:rsid w:val="00FF3708"/>
    <w:rsid w:val="00FF3DA0"/>
    <w:rsid w:val="00FF4ADA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2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uiPriority="0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2" w:qFormat="1"/>
    <w:lsdException w:name="Intense Reference" w:uiPriority="33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52"/>
    <w:pPr>
      <w:widowControl w:val="0"/>
      <w:jc w:val="both"/>
    </w:pPr>
  </w:style>
  <w:style w:type="paragraph" w:styleId="Heading1">
    <w:name w:val="heading 1"/>
    <w:basedOn w:val="Normal"/>
    <w:next w:val="Normal"/>
    <w:uiPriority w:val="1"/>
    <w:qFormat/>
    <w:rsid w:val="006751EA"/>
    <w:pPr>
      <w:keepNext/>
      <w:keepLines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1"/>
    <w:qFormat/>
    <w:rsid w:val="006751EA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rsid w:val="006751EA"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E16882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751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154DB1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154DB1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B1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B1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5150"/>
    <w:pPr>
      <w:tabs>
        <w:tab w:val="left" w:pos="0"/>
        <w:tab w:val="right" w:leader="dot" w:pos="8505"/>
      </w:tabs>
      <w:spacing w:before="80" w:after="40"/>
      <w:ind w:right="-1"/>
    </w:pPr>
    <w:rPr>
      <w:noProof/>
    </w:rPr>
  </w:style>
  <w:style w:type="paragraph" w:styleId="TOC2">
    <w:name w:val="toc 2"/>
    <w:basedOn w:val="Normal"/>
    <w:next w:val="Normal"/>
    <w:autoRedefine/>
    <w:semiHidden/>
    <w:rsid w:val="006751EA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TOC3">
    <w:name w:val="toc 3"/>
    <w:basedOn w:val="Normal"/>
    <w:next w:val="Normal"/>
    <w:autoRedefine/>
    <w:semiHidden/>
    <w:rsid w:val="006751EA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styleId="FootnoteText">
    <w:name w:val="footnote text"/>
    <w:basedOn w:val="Normal"/>
    <w:semiHidden/>
    <w:rsid w:val="000E2410"/>
    <w:rPr>
      <w:sz w:val="20"/>
    </w:rPr>
  </w:style>
  <w:style w:type="character" w:styleId="FootnoteReference">
    <w:name w:val="footnote reference"/>
    <w:semiHidden/>
    <w:rsid w:val="006751EA"/>
    <w:rPr>
      <w:vertAlign w:val="superscript"/>
    </w:rPr>
  </w:style>
  <w:style w:type="character" w:styleId="PageNumber">
    <w:name w:val="page number"/>
    <w:basedOn w:val="DefaultParagraphFont"/>
    <w:semiHidden/>
    <w:rsid w:val="006751EA"/>
  </w:style>
  <w:style w:type="character" w:customStyle="1" w:styleId="Heading4Char">
    <w:name w:val="Heading 4 Char"/>
    <w:link w:val="Heading4"/>
    <w:uiPriority w:val="2"/>
    <w:rsid w:val="00E16882"/>
    <w:rPr>
      <w:rFonts w:eastAsiaTheme="majorEastAsia" w:cstheme="majorBidi"/>
      <w:bCs/>
      <w:iCs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751EA"/>
    <w:pPr>
      <w:contextualSpacing/>
      <w:jc w:val="center"/>
    </w:pPr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semiHidden/>
    <w:rsid w:val="006751EA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Heading5Char">
    <w:name w:val="Heading 5 Char"/>
    <w:link w:val="Heading5"/>
    <w:uiPriority w:val="2"/>
    <w:rsid w:val="00E16882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E45F6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E45F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B1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B1"/>
    <w:rPr>
      <w:rFonts w:eastAsiaTheme="majorEastAsia" w:cstheme="majorBidi"/>
      <w:i/>
      <w:iCs/>
      <w:szCs w:val="20"/>
    </w:rPr>
  </w:style>
  <w:style w:type="paragraph" w:styleId="ListParagraph">
    <w:name w:val="List Paragraph"/>
    <w:basedOn w:val="Normal"/>
    <w:uiPriority w:val="34"/>
    <w:semiHidden/>
    <w:qFormat/>
    <w:rsid w:val="00BE45F6"/>
    <w:pPr>
      <w:ind w:left="720"/>
      <w:contextualSpacing/>
    </w:pPr>
  </w:style>
  <w:style w:type="paragraph" w:customStyle="1" w:styleId="Citazione">
    <w:name w:val="Citazione"/>
    <w:basedOn w:val="Normal"/>
    <w:uiPriority w:val="2"/>
    <w:qFormat/>
    <w:rsid w:val="00BE45F6"/>
    <w:pPr>
      <w:spacing w:before="240"/>
      <w:ind w:left="709" w:right="709"/>
    </w:pPr>
    <w:rPr>
      <w:sz w:val="22"/>
      <w:szCs w:val="20"/>
    </w:rPr>
  </w:style>
  <w:style w:type="paragraph" w:customStyle="1" w:styleId="Citazionerientrata">
    <w:name w:val="Citazione rientrata"/>
    <w:basedOn w:val="Citazione"/>
    <w:uiPriority w:val="2"/>
    <w:qFormat/>
    <w:rsid w:val="00BE45F6"/>
    <w:pPr>
      <w:ind w:left="1418"/>
    </w:pPr>
  </w:style>
  <w:style w:type="paragraph" w:customStyle="1" w:styleId="TestoNumerato">
    <w:name w:val="Testo Numerato"/>
    <w:basedOn w:val="Normal"/>
    <w:uiPriority w:val="2"/>
    <w:qFormat/>
    <w:rsid w:val="00BE45F6"/>
    <w:pPr>
      <w:numPr>
        <w:numId w:val="24"/>
      </w:numPr>
    </w:pPr>
    <w:rPr>
      <w:szCs w:val="20"/>
    </w:rPr>
  </w:style>
  <w:style w:type="character" w:styleId="Strong">
    <w:name w:val="Strong"/>
    <w:basedOn w:val="DefaultParagraphFont"/>
    <w:qFormat/>
    <w:rsid w:val="00286FA6"/>
    <w:rPr>
      <w:b/>
      <w:bCs/>
    </w:rPr>
  </w:style>
  <w:style w:type="paragraph" w:styleId="NormalWeb">
    <w:name w:val="Normal (Web)"/>
    <w:basedOn w:val="Normal"/>
    <w:rsid w:val="00286FA6"/>
    <w:pPr>
      <w:widowControl/>
      <w:spacing w:before="100" w:beforeAutospacing="1" w:after="100" w:afterAutospacing="1"/>
      <w:jc w:val="left"/>
    </w:pPr>
    <w:rPr>
      <w:rFonts w:ascii="Verdana" w:hAnsi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5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02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F3"/>
  </w:style>
  <w:style w:type="paragraph" w:styleId="Footer">
    <w:name w:val="footer"/>
    <w:basedOn w:val="Normal"/>
    <w:link w:val="FooterChar"/>
    <w:uiPriority w:val="99"/>
    <w:unhideWhenUsed/>
    <w:rsid w:val="00266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2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uiPriority="0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2" w:qFormat="1"/>
    <w:lsdException w:name="Intense Reference" w:uiPriority="33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52"/>
    <w:pPr>
      <w:widowControl w:val="0"/>
      <w:jc w:val="both"/>
    </w:pPr>
  </w:style>
  <w:style w:type="paragraph" w:styleId="Heading1">
    <w:name w:val="heading 1"/>
    <w:basedOn w:val="Normal"/>
    <w:next w:val="Normal"/>
    <w:uiPriority w:val="1"/>
    <w:qFormat/>
    <w:rsid w:val="006751EA"/>
    <w:pPr>
      <w:keepNext/>
      <w:keepLines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1"/>
    <w:qFormat/>
    <w:rsid w:val="006751EA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rsid w:val="006751EA"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E16882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751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154DB1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154DB1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B1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B1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5150"/>
    <w:pPr>
      <w:tabs>
        <w:tab w:val="left" w:pos="0"/>
        <w:tab w:val="right" w:leader="dot" w:pos="8505"/>
      </w:tabs>
      <w:spacing w:before="80" w:after="40"/>
      <w:ind w:right="-1"/>
    </w:pPr>
    <w:rPr>
      <w:noProof/>
    </w:rPr>
  </w:style>
  <w:style w:type="paragraph" w:styleId="TOC2">
    <w:name w:val="toc 2"/>
    <w:basedOn w:val="Normal"/>
    <w:next w:val="Normal"/>
    <w:autoRedefine/>
    <w:semiHidden/>
    <w:rsid w:val="006751EA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TOC3">
    <w:name w:val="toc 3"/>
    <w:basedOn w:val="Normal"/>
    <w:next w:val="Normal"/>
    <w:autoRedefine/>
    <w:semiHidden/>
    <w:rsid w:val="006751EA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styleId="FootnoteText">
    <w:name w:val="footnote text"/>
    <w:basedOn w:val="Normal"/>
    <w:semiHidden/>
    <w:rsid w:val="000E2410"/>
    <w:rPr>
      <w:sz w:val="20"/>
    </w:rPr>
  </w:style>
  <w:style w:type="character" w:styleId="FootnoteReference">
    <w:name w:val="footnote reference"/>
    <w:semiHidden/>
    <w:rsid w:val="006751EA"/>
    <w:rPr>
      <w:vertAlign w:val="superscript"/>
    </w:rPr>
  </w:style>
  <w:style w:type="character" w:styleId="PageNumber">
    <w:name w:val="page number"/>
    <w:basedOn w:val="DefaultParagraphFont"/>
    <w:semiHidden/>
    <w:rsid w:val="006751EA"/>
  </w:style>
  <w:style w:type="character" w:customStyle="1" w:styleId="Heading4Char">
    <w:name w:val="Heading 4 Char"/>
    <w:link w:val="Heading4"/>
    <w:uiPriority w:val="2"/>
    <w:rsid w:val="00E16882"/>
    <w:rPr>
      <w:rFonts w:eastAsiaTheme="majorEastAsia" w:cstheme="majorBidi"/>
      <w:bCs/>
      <w:iCs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751EA"/>
    <w:pPr>
      <w:contextualSpacing/>
      <w:jc w:val="center"/>
    </w:pPr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semiHidden/>
    <w:rsid w:val="006751EA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Heading5Char">
    <w:name w:val="Heading 5 Char"/>
    <w:link w:val="Heading5"/>
    <w:uiPriority w:val="2"/>
    <w:rsid w:val="00E16882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E45F6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E45F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B1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B1"/>
    <w:rPr>
      <w:rFonts w:eastAsiaTheme="majorEastAsia" w:cstheme="majorBidi"/>
      <w:i/>
      <w:iCs/>
      <w:szCs w:val="20"/>
    </w:rPr>
  </w:style>
  <w:style w:type="paragraph" w:styleId="ListParagraph">
    <w:name w:val="List Paragraph"/>
    <w:basedOn w:val="Normal"/>
    <w:uiPriority w:val="34"/>
    <w:semiHidden/>
    <w:qFormat/>
    <w:rsid w:val="00BE45F6"/>
    <w:pPr>
      <w:ind w:left="720"/>
      <w:contextualSpacing/>
    </w:pPr>
  </w:style>
  <w:style w:type="paragraph" w:customStyle="1" w:styleId="Citazione">
    <w:name w:val="Citazione"/>
    <w:basedOn w:val="Normal"/>
    <w:uiPriority w:val="2"/>
    <w:qFormat/>
    <w:rsid w:val="00BE45F6"/>
    <w:pPr>
      <w:spacing w:before="240"/>
      <w:ind w:left="709" w:right="709"/>
    </w:pPr>
    <w:rPr>
      <w:sz w:val="22"/>
      <w:szCs w:val="20"/>
    </w:rPr>
  </w:style>
  <w:style w:type="paragraph" w:customStyle="1" w:styleId="Citazionerientrata">
    <w:name w:val="Citazione rientrata"/>
    <w:basedOn w:val="Citazione"/>
    <w:uiPriority w:val="2"/>
    <w:qFormat/>
    <w:rsid w:val="00BE45F6"/>
    <w:pPr>
      <w:ind w:left="1418"/>
    </w:pPr>
  </w:style>
  <w:style w:type="paragraph" w:customStyle="1" w:styleId="TestoNumerato">
    <w:name w:val="Testo Numerato"/>
    <w:basedOn w:val="Normal"/>
    <w:uiPriority w:val="2"/>
    <w:qFormat/>
    <w:rsid w:val="00BE45F6"/>
    <w:pPr>
      <w:numPr>
        <w:numId w:val="24"/>
      </w:numPr>
    </w:pPr>
    <w:rPr>
      <w:szCs w:val="20"/>
    </w:rPr>
  </w:style>
  <w:style w:type="character" w:styleId="Strong">
    <w:name w:val="Strong"/>
    <w:basedOn w:val="DefaultParagraphFont"/>
    <w:qFormat/>
    <w:rsid w:val="00286FA6"/>
    <w:rPr>
      <w:b/>
      <w:bCs/>
    </w:rPr>
  </w:style>
  <w:style w:type="paragraph" w:styleId="NormalWeb">
    <w:name w:val="Normal (Web)"/>
    <w:basedOn w:val="Normal"/>
    <w:rsid w:val="00286FA6"/>
    <w:pPr>
      <w:widowControl/>
      <w:spacing w:before="100" w:beforeAutospacing="1" w:after="100" w:afterAutospacing="1"/>
      <w:jc w:val="left"/>
    </w:pPr>
    <w:rPr>
      <w:rFonts w:ascii="Verdana" w:hAnsi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5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02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6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F3"/>
  </w:style>
  <w:style w:type="paragraph" w:styleId="Footer">
    <w:name w:val="footer"/>
    <w:basedOn w:val="Normal"/>
    <w:link w:val="FooterChar"/>
    <w:uiPriority w:val="99"/>
    <w:unhideWhenUsed/>
    <w:rsid w:val="00266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footer" Target="footer2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numbering" Target="numbering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header" Target="header2.xml" />
  <Relationship Id="rId5" Type="http://schemas.openxmlformats.org/officeDocument/2006/relationships/settings" Target="setting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microsoft.com/office/2007/relationships/stylesWithEffects" Target="stylesWithEffects.xml" />
  <Relationship Id="rId9" Type="http://schemas.openxmlformats.org/officeDocument/2006/relationships/hyperlink" Target="http://www.space2spa.com" TargetMode="Externa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86D8-2949-4165-9A51-A1B21B9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1434</Words>
  <Characters>8350</Characters>
  <Application>Microsoft Office Word</Application>
  <DocSecurity>0</DocSecurity>
  <Lines>142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